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58B3">
      <w:pPr>
        <w:pStyle w:val="printredaction-line"/>
        <w:divId w:val="1041980546"/>
        <w:rPr>
          <w:rFonts w:ascii="PT Serif" w:hAnsi="PT Serif"/>
        </w:rPr>
      </w:pPr>
      <w:bookmarkStart w:id="0" w:name="_GoBack"/>
      <w:bookmarkEnd w:id="0"/>
      <w:r>
        <w:rPr>
          <w:rFonts w:ascii="PT Serif" w:hAnsi="PT Serif"/>
        </w:rPr>
        <w:t>Редакция от 10 янв 2023</w:t>
      </w:r>
    </w:p>
    <w:p w:rsidR="00000000" w:rsidRDefault="003D58B3">
      <w:pPr>
        <w:divId w:val="2113894570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Приказ ФНС России от 30.11.2022 № ЕД-7-8/1129@</w:t>
      </w:r>
    </w:p>
    <w:p w:rsidR="00000000" w:rsidRDefault="003D58B3">
      <w:pPr>
        <w:pStyle w:val="2"/>
        <w:divId w:val="1041980546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утверждении формы справки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агента, и формата ее представления в электронной фор</w:t>
      </w:r>
      <w:r>
        <w:rPr>
          <w:rFonts w:ascii="PT Serif" w:eastAsia="Times New Roman" w:hAnsi="PT Serif"/>
        </w:rPr>
        <w:t>ме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В соответствии с</w:t>
      </w:r>
      <w:r>
        <w:rPr>
          <w:rFonts w:ascii="PT Serif" w:hAnsi="PT Serif"/>
        </w:rPr>
        <w:t xml:space="preserve"> </w:t>
      </w:r>
      <w:hyperlink r:id="rId5" w:anchor="/document/99/901714421/XA00MCG2NS/" w:history="1">
        <w:r>
          <w:rPr>
            <w:rStyle w:val="a4"/>
            <w:rFonts w:ascii="PT Serif" w:hAnsi="PT Serif"/>
          </w:rPr>
          <w:t>пунктом 4 статьи 31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6" w:anchor="/document/99/901714421/XA00MJ02NO/" w:history="1">
        <w:r>
          <w:rPr>
            <w:rStyle w:val="a4"/>
            <w:rFonts w:ascii="PT Serif" w:hAnsi="PT Serif"/>
          </w:rPr>
          <w:t>подпунктом 10 пункта 1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7" w:anchor="/document/99/901714421/XA00MK42OK/" w:history="1">
        <w:r>
          <w:rPr>
            <w:rStyle w:val="a4"/>
            <w:rFonts w:ascii="PT Serif" w:hAnsi="PT Serif"/>
          </w:rPr>
          <w:t>пунктом 2.1 статьи 32 Налогового кодекса Российской Федерации</w:t>
        </w:r>
      </w:hyperlink>
      <w:r>
        <w:rPr>
          <w:rFonts w:ascii="PT Serif" w:hAnsi="PT Serif"/>
        </w:rPr>
        <w:t xml:space="preserve"> (Собрание законодательства Российской Федерации, 1998, № 31, ст.3824; 2016, № 27, ст.4176; 2021, № 1, ст.9; 2022, № 29, ст.5230),</w:t>
      </w:r>
      <w:r>
        <w:rPr>
          <w:rFonts w:ascii="PT Serif" w:hAnsi="PT Serif"/>
        </w:rPr>
        <w:t xml:space="preserve"> </w:t>
      </w:r>
      <w:hyperlink r:id="rId8" w:anchor="/document/99/901910275/XA00MD62NP/" w:history="1">
        <w:r>
          <w:rPr>
            <w:rStyle w:val="a4"/>
            <w:rFonts w:ascii="PT Serif" w:hAnsi="PT Serif"/>
          </w:rPr>
          <w:t>подпунктом 5.9.37 пункта 5 Положения о Федеральной налоговой службе</w:t>
        </w:r>
      </w:hyperlink>
      <w:r>
        <w:rPr>
          <w:rFonts w:ascii="PT Serif" w:hAnsi="PT Serif"/>
        </w:rPr>
        <w:t>, утвержденного</w:t>
      </w:r>
      <w:r>
        <w:rPr>
          <w:rFonts w:ascii="PT Serif" w:hAnsi="PT Serif"/>
        </w:rPr>
        <w:t xml:space="preserve"> </w:t>
      </w:r>
      <w:hyperlink r:id="rId9" w:anchor="/document/99/901910275/XA00M6G2N3/" w:history="1">
        <w:r>
          <w:rPr>
            <w:rStyle w:val="a4"/>
            <w:rFonts w:ascii="PT Serif" w:hAnsi="PT Serif"/>
          </w:rPr>
          <w:t>постановлени</w:t>
        </w:r>
        <w:r>
          <w:rPr>
            <w:rStyle w:val="a4"/>
            <w:rFonts w:ascii="PT Serif" w:hAnsi="PT Serif"/>
          </w:rPr>
          <w:t>ем Правительства Российской Федерации от 30.09.2004 № 506</w:t>
        </w:r>
      </w:hyperlink>
      <w:r>
        <w:rPr>
          <w:rFonts w:ascii="PT Serif" w:hAnsi="PT Serif"/>
        </w:rPr>
        <w:t xml:space="preserve"> (Собрание законодательства Российской Федерации, 2004, № 40, ст.3961; 2015, № 15, ст.2286), в целях обеспечения исполнения налоговыми органами обязанности по представлению справки о принадлежности с</w:t>
      </w:r>
      <w:r>
        <w:rPr>
          <w:rFonts w:ascii="PT Serif" w:hAnsi="PT Serif"/>
        </w:rPr>
        <w:t>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агента, а также в связи с принятием</w:t>
      </w:r>
      <w:r>
        <w:rPr>
          <w:rFonts w:ascii="PT Serif" w:hAnsi="PT Serif"/>
        </w:rPr>
        <w:t xml:space="preserve"> </w:t>
      </w:r>
      <w:hyperlink r:id="rId10" w:anchor="/document/99/351175911/XA00M6G2N3/" w:history="1">
        <w:r>
          <w:rPr>
            <w:rStyle w:val="a4"/>
            <w:rFonts w:ascii="PT Serif" w:hAnsi="PT Serif"/>
          </w:rPr>
          <w:t>Федерального закона от 14.07.2022 № 263-ФЗ "О внесении изменений в часть первую и вторую Налогового кодекса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2022, № 29, ст.5230)</w:t>
      </w:r>
      <w:r>
        <w:rPr>
          <w:rFonts w:ascii="PT Serif" w:hAnsi="PT Serif"/>
        </w:rPr>
        <w:t xml:space="preserve"> 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приказываю</w:t>
      </w:r>
      <w:r>
        <w:rPr>
          <w:rFonts w:ascii="PT Serif" w:hAnsi="PT Serif"/>
        </w:rPr>
        <w:t>: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1. Утвердить</w:t>
      </w:r>
      <w:r>
        <w:rPr>
          <w:rFonts w:ascii="PT Serif" w:hAnsi="PT Serif"/>
        </w:rPr>
        <w:t>: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форму спр</w:t>
      </w:r>
      <w:r>
        <w:rPr>
          <w:rFonts w:ascii="PT Serif" w:hAnsi="PT Serif"/>
        </w:rPr>
        <w:t xml:space="preserve">авки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агента, согласно </w:t>
      </w:r>
      <w:hyperlink r:id="rId11" w:anchor="/document/99/1300338667/XA00LVA2M9/" w:tgtFrame="_self" w:history="1">
        <w:r>
          <w:rPr>
            <w:rStyle w:val="a4"/>
            <w:rFonts w:ascii="PT Serif" w:hAnsi="PT Serif"/>
          </w:rPr>
          <w:t>приложению № 1 к настоящему приказу</w:t>
        </w:r>
      </w:hyperlink>
      <w:r>
        <w:rPr>
          <w:rFonts w:ascii="PT Serif" w:hAnsi="PT Serif"/>
        </w:rPr>
        <w:t>;</w:t>
      </w:r>
      <w:r>
        <w:rPr>
          <w:rFonts w:ascii="PT Serif" w:hAnsi="PT Serif"/>
        </w:rPr>
        <w:t xml:space="preserve"> 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формат представления справки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</w:t>
      </w:r>
      <w:r>
        <w:rPr>
          <w:rFonts w:ascii="PT Serif" w:hAnsi="PT Serif"/>
        </w:rPr>
        <w:t xml:space="preserve">зносов или налогового агента, в электронной форме согласно </w:t>
      </w:r>
      <w:hyperlink r:id="rId12" w:anchor="/document/99/1300338667/XA00M2O2MP/" w:tgtFrame="_self" w:history="1">
        <w:r>
          <w:rPr>
            <w:rStyle w:val="a4"/>
            <w:rFonts w:ascii="PT Serif" w:hAnsi="PT Serif"/>
          </w:rPr>
          <w:t>приложению № 2 к настоящему приказу</w:t>
        </w:r>
      </w:hyperlink>
      <w:r>
        <w:rPr>
          <w:rFonts w:ascii="PT Serif" w:hAnsi="PT Serif"/>
        </w:rPr>
        <w:t>.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 xml:space="preserve">2. Установить, что настоящий приказ вступает в силу по истечении </w:t>
      </w:r>
      <w:r>
        <w:rPr>
          <w:rFonts w:ascii="PT Serif" w:hAnsi="PT Serif"/>
        </w:rPr>
        <w:t>10 дней после даты его официального опубликования, но не ранее 1 января 2023 года</w:t>
      </w:r>
      <w:r>
        <w:rPr>
          <w:rFonts w:ascii="PT Serif" w:hAnsi="PT Serif"/>
        </w:rPr>
        <w:t>.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lastRenderedPageBreak/>
        <w:t>3. Контроль за исполнением настоящего приказа возложить на заместителя руководителя Федеральной налоговой службы, координирующего вопросы организационно-методологического об</w:t>
      </w:r>
      <w:r>
        <w:rPr>
          <w:rFonts w:ascii="PT Serif" w:hAnsi="PT Serif"/>
        </w:rPr>
        <w:t>еспечения учета поступлений в бюджетную систему Российской Федерации платежей, администрируемых налоговыми органами</w:t>
      </w:r>
      <w:r>
        <w:rPr>
          <w:rFonts w:ascii="PT Serif" w:hAnsi="PT Serif"/>
        </w:rPr>
        <w:t>.</w:t>
      </w:r>
    </w:p>
    <w:p w:rsidR="00000000" w:rsidRDefault="003D58B3">
      <w:pPr>
        <w:spacing w:after="223"/>
        <w:divId w:val="755051562"/>
        <w:rPr>
          <w:rFonts w:ascii="PT Serif" w:hAnsi="PT Serif"/>
        </w:rPr>
      </w:pPr>
      <w:r>
        <w:rPr>
          <w:rFonts w:ascii="PT Serif" w:hAnsi="PT Serif"/>
        </w:rPr>
        <w:t>Руководитель Федеральной</w:t>
      </w:r>
      <w:r>
        <w:rPr>
          <w:rFonts w:ascii="PT Serif" w:hAnsi="PT Serif"/>
        </w:rPr>
        <w:br/>
      </w:r>
      <w:r>
        <w:rPr>
          <w:rFonts w:ascii="PT Serif" w:hAnsi="PT Serif"/>
        </w:rPr>
        <w:t>налоговой службы</w:t>
      </w:r>
      <w:r>
        <w:rPr>
          <w:rFonts w:ascii="PT Serif" w:hAnsi="PT Serif"/>
        </w:rPr>
        <w:br/>
      </w:r>
      <w:r>
        <w:rPr>
          <w:rFonts w:ascii="PT Serif" w:hAnsi="PT Serif"/>
        </w:rPr>
        <w:t>Д.В.Егоров</w:t>
      </w:r>
      <w:r>
        <w:rPr>
          <w:rFonts w:ascii="PT Serif" w:hAnsi="PT Serif"/>
        </w:rPr>
        <w:t xml:space="preserve"> </w:t>
      </w:r>
    </w:p>
    <w:p w:rsidR="00000000" w:rsidRDefault="003D58B3">
      <w:pPr>
        <w:spacing w:after="223"/>
        <w:jc w:val="both"/>
        <w:divId w:val="133707421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29 декабря 2022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</w:t>
      </w:r>
      <w:r>
        <w:rPr>
          <w:rFonts w:ascii="Helvetica" w:hAnsi="Helvetica" w:cs="Helvetica"/>
          <w:sz w:val="20"/>
          <w:szCs w:val="20"/>
        </w:rPr>
        <w:t>гистрационный № 7188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Приложение № 1</w:t>
      </w:r>
      <w:r>
        <w:rPr>
          <w:rFonts w:ascii="PT Serif" w:hAnsi="PT Serif"/>
        </w:rPr>
        <w:br/>
      </w:r>
      <w:r>
        <w:rPr>
          <w:rFonts w:ascii="PT Serif" w:hAnsi="PT Serif"/>
        </w:rPr>
        <w:t>к приказу ФНС России</w:t>
      </w:r>
      <w:r>
        <w:rPr>
          <w:rFonts w:ascii="PT Serif" w:hAnsi="PT Serif"/>
        </w:rPr>
        <w:br/>
      </w:r>
      <w:r>
        <w:rPr>
          <w:rFonts w:ascii="PT Serif" w:hAnsi="PT Serif"/>
        </w:rPr>
        <w:t>от 30 ноября 2022 года № ЕД-7-8/1129</w:t>
      </w:r>
      <w:r>
        <w:rPr>
          <w:rFonts w:ascii="PT Serif" w:hAnsi="PT Serif"/>
        </w:rPr>
        <w:t>@</w:t>
      </w:r>
    </w:p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Форма по КНД 1120502</w:t>
      </w:r>
      <w:r>
        <w:rPr>
          <w:rFonts w:ascii="PT Serif" w:hAnsi="PT Serif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6"/>
        <w:gridCol w:w="358"/>
        <w:gridCol w:w="517"/>
        <w:gridCol w:w="394"/>
        <w:gridCol w:w="306"/>
        <w:gridCol w:w="306"/>
        <w:gridCol w:w="394"/>
        <w:gridCol w:w="362"/>
        <w:gridCol w:w="306"/>
        <w:gridCol w:w="394"/>
        <w:gridCol w:w="542"/>
        <w:gridCol w:w="306"/>
        <w:gridCol w:w="591"/>
        <w:gridCol w:w="609"/>
        <w:gridCol w:w="394"/>
        <w:gridCol w:w="306"/>
        <w:gridCol w:w="394"/>
        <w:gridCol w:w="362"/>
        <w:gridCol w:w="394"/>
        <w:gridCol w:w="648"/>
        <w:gridCol w:w="525"/>
        <w:gridCol w:w="329"/>
        <w:gridCol w:w="362"/>
      </w:tblGrid>
      <w:tr w:rsidR="00000000">
        <w:trPr>
          <w:divId w:val="1957448802"/>
        </w:trPr>
        <w:tc>
          <w:tcPr>
            <w:tcW w:w="73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Справка</w:t>
            </w:r>
            <w:r>
              <w:br/>
            </w:r>
            <w:r>
              <w:t xml:space="preserve">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 </w:t>
            </w:r>
          </w:p>
        </w:tc>
      </w:tr>
      <w:tr w:rsidR="00000000">
        <w:trPr>
          <w:divId w:val="1957448802"/>
        </w:trPr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rPr>
                <w:b/>
                <w:bCs/>
              </w:rPr>
              <w:t xml:space="preserve">N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rPr>
                <w:b/>
                <w:bCs/>
              </w:rPr>
              <w:t xml:space="preserve">от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rPr>
                <w:b/>
                <w:bCs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rPr>
                <w:b/>
                <w:bCs/>
              </w:rPr>
              <w:t xml:space="preserve">года 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     Денежные средства налогоплательщика, плательщика сбора, плательщика страховых взносов, </w:t>
            </w:r>
          </w:p>
        </w:tc>
      </w:tr>
      <w:tr w:rsidR="00000000">
        <w:trPr>
          <w:divId w:val="1957448802"/>
        </w:trPr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налогового агента </w:t>
            </w:r>
          </w:p>
        </w:tc>
        <w:tc>
          <w:tcPr>
            <w:tcW w:w="850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,</w:t>
            </w:r>
          </w:p>
        </w:tc>
      </w:tr>
      <w:tr w:rsidR="00000000">
        <w:trPr>
          <w:divId w:val="1957448802"/>
        </w:trPr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(наименование организации - налогоплательщика, плательщика сбора, плательщика страховых взносов или налогового агента, Ф.И.О.</w:t>
            </w:r>
            <w:r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5080"/>
                  <wp:docPr id="1" name="Рисунок 1" descr="https://vip.gosfinansy.ru/system/content/image/25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gosfinansy.ru/system/content/image/25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индивидуального предпринимателя, физического лица, не являющегося индивидуальным предпринимателем, ИНН, КПП</w:t>
            </w:r>
            <w:r>
              <w:rPr>
                <w:noProof/>
              </w:rPr>
              <w:drawing>
                <wp:inline distT="0" distB="0" distL="0" distR="0">
                  <wp:extent cx="106045" cy="223520"/>
                  <wp:effectExtent l="0" t="0" r="8255" b="5080"/>
                  <wp:docPr id="2" name="Рисунок 2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957448802"/>
        </w:trPr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перечисленные в качестве единого налогового платежа за период с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.20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по </w:t>
            </w:r>
          </w:p>
        </w:tc>
      </w:tr>
      <w:tr w:rsidR="00000000">
        <w:trPr>
          <w:divId w:val="1957448802"/>
        </w:trPr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.20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, учтены в счет погашения налоговых обязанностей с соблюдением </w:t>
            </w:r>
          </w:p>
        </w:tc>
      </w:tr>
      <w:tr w:rsidR="00000000">
        <w:trPr>
          <w:divId w:val="1957448802"/>
        </w:trPr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последовательности, установленной</w:t>
            </w:r>
            <w:r>
              <w:t xml:space="preserve"> </w:t>
            </w:r>
            <w:hyperlink r:id="rId15" w:anchor="/document/99/901714421/XA00MFE2NS/" w:history="1">
              <w:r>
                <w:rPr>
                  <w:rStyle w:val="a4"/>
                </w:rPr>
                <w:t>пунктами 8</w:t>
              </w:r>
            </w:hyperlink>
            <w:r>
              <w:t>-</w:t>
            </w:r>
            <w:hyperlink r:id="rId16" w:anchor="/document/99/901714421/XA00M9U2NB/" w:history="1">
              <w:r>
                <w:rPr>
                  <w:rStyle w:val="a4"/>
                </w:rPr>
                <w:t xml:space="preserve">10 статьи 45 Налогового кодекса </w:t>
              </w:r>
              <w:r>
                <w:rPr>
                  <w:rStyle w:val="a4"/>
                </w:rPr>
                <w:lastRenderedPageBreak/>
                <w:t>Российской Фе</w:t>
              </w:r>
              <w:r>
                <w:rPr>
                  <w:rStyle w:val="a4"/>
                </w:rPr>
                <w:t>дерации</w:t>
              </w:r>
            </w:hyperlink>
            <w:r>
              <w:t>.</w:t>
            </w:r>
          </w:p>
        </w:tc>
      </w:tr>
      <w:tr w:rsidR="00000000">
        <w:trPr>
          <w:divId w:val="1957448802"/>
        </w:trPr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>     </w:t>
            </w:r>
            <w:r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5080"/>
                  <wp:docPr id="3" name="Рисунок 3" descr="https://vip.gosfinansy.ru/system/content/image/25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p.gosfinansy.ru/system/content/image/25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Отчество указывается при наличии.</w:t>
            </w:r>
            <w:r>
              <w:br/>
              <w:t>     </w:t>
            </w:r>
            <w:r>
              <w:br/>
              <w:t>     </w:t>
            </w:r>
          </w:p>
          <w:p w:rsidR="00000000" w:rsidRDefault="003D58B3">
            <w:pPr>
              <w:divId w:val="1942487282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noProof/>
                <w:sz w:val="17"/>
                <w:szCs w:val="17"/>
              </w:rPr>
              <w:drawing>
                <wp:inline distT="0" distB="0" distL="0" distR="0">
                  <wp:extent cx="106045" cy="223520"/>
                  <wp:effectExtent l="0" t="0" r="8255" b="5080"/>
                  <wp:docPr id="4" name="Рисунок 4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Указывается код причины постановки на учет, присвоенный налоговым органом по месту нахождения организации либо по месту нахож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дения отделения иностранной организации.</w:t>
            </w:r>
          </w:p>
        </w:tc>
      </w:tr>
      <w:tr w:rsidR="00000000">
        <w:trPr>
          <w:divId w:val="1957448802"/>
        </w:trPr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1145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499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Остаток на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.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.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: 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499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49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Поступления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49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Списания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499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Остаток на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.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.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: 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57448802"/>
        </w:trPr>
        <w:tc>
          <w:tcPr>
            <w:tcW w:w="499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628730908"/>
        </w:trPr>
        <w:tc>
          <w:tcPr>
            <w:tcW w:w="1145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28730908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Раздел I. ПОСТУПЛЕНИЯ. </w:t>
            </w:r>
          </w:p>
        </w:tc>
      </w:tr>
    </w:tbl>
    <w:p w:rsidR="00000000" w:rsidRDefault="003D58B3">
      <w:pPr>
        <w:divId w:val="1633557540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9"/>
        <w:gridCol w:w="1242"/>
        <w:gridCol w:w="1242"/>
        <w:gridCol w:w="756"/>
        <w:gridCol w:w="1165"/>
        <w:gridCol w:w="805"/>
        <w:gridCol w:w="1361"/>
        <w:gridCol w:w="1265"/>
      </w:tblGrid>
      <w:tr w:rsidR="00000000">
        <w:trPr>
          <w:divId w:val="1633557540"/>
        </w:trPr>
        <w:tc>
          <w:tcPr>
            <w:tcW w:w="3511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Дата поступ-</w:t>
            </w:r>
            <w:r>
              <w:br/>
            </w:r>
            <w:r>
              <w:t>ления/</w:t>
            </w:r>
            <w:r>
              <w:br/>
            </w:r>
            <w:r>
              <w:t xml:space="preserve">списания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Сумма поступ-</w:t>
            </w:r>
            <w:r>
              <w:br/>
            </w:r>
            <w:r>
              <w:t>ления/</w:t>
            </w:r>
            <w:r>
              <w:br/>
            </w:r>
            <w:r>
              <w:t xml:space="preserve">списания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КБК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ОКТМО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КПП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Документ основания операции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Итого по виду операции </w:t>
            </w: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1. Платежи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i/>
                <w:iCs/>
              </w:rPr>
              <w:t xml:space="preserve">Итого по </w:t>
            </w:r>
            <w:r>
              <w:rPr>
                <w:i/>
                <w:iCs/>
              </w:rPr>
              <w:lastRenderedPageBreak/>
              <w:t>платежам: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lastRenderedPageBreak/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2. Зачет от иного лица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i/>
                <w:iCs/>
              </w:rPr>
              <w:t>Итого по зачетам: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3. Учет переплаты с обязательства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i/>
                <w:iCs/>
              </w:rPr>
              <w:t>Итого по обязательству: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i/>
                <w:iCs/>
              </w:rPr>
              <w:t>Итого по обязательству: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355754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  <w:i/>
                <w:iCs/>
              </w:rPr>
              <w:t>Итого по суммам, учтённым с обязательств: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628730908"/>
        </w:trPr>
        <w:tc>
          <w:tcPr>
            <w:tcW w:w="1145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28730908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Раздел II. СПИСАНИЯ. </w:t>
            </w:r>
          </w:p>
        </w:tc>
      </w:tr>
    </w:tbl>
    <w:p w:rsidR="00000000" w:rsidRDefault="003D58B3">
      <w:pPr>
        <w:divId w:val="498929847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88"/>
        <w:gridCol w:w="1242"/>
        <w:gridCol w:w="1242"/>
        <w:gridCol w:w="756"/>
        <w:gridCol w:w="1165"/>
        <w:gridCol w:w="805"/>
        <w:gridCol w:w="1039"/>
        <w:gridCol w:w="1361"/>
        <w:gridCol w:w="1265"/>
      </w:tblGrid>
      <w:tr w:rsidR="00000000">
        <w:trPr>
          <w:divId w:val="498929847"/>
        </w:trPr>
        <w:tc>
          <w:tcPr>
            <w:tcW w:w="3511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Дата поступ-</w:t>
            </w:r>
            <w:r>
              <w:br/>
            </w:r>
            <w:r>
              <w:t>ления/</w:t>
            </w:r>
            <w:r>
              <w:br/>
            </w:r>
            <w:r>
              <w:t xml:space="preserve">списания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Сумма поступ-</w:t>
            </w:r>
            <w:r>
              <w:br/>
            </w:r>
            <w:r>
              <w:t>ления/</w:t>
            </w:r>
            <w:r>
              <w:br/>
            </w:r>
            <w:r>
              <w:t xml:space="preserve">списания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КБК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ОКТМО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КПП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Срок уплаты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Документ основания операции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Итого по виду операции </w:t>
            </w: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1. Зачет иному лицу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i/>
                <w:iCs/>
              </w:rPr>
              <w:t>Итого по зачету иному лицу: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2. Возврат денежных средств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i/>
                <w:iCs/>
              </w:rPr>
              <w:t>Итого по возврату денежных средств: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</w:rPr>
              <w:t xml:space="preserve">3. Списание в счет уплаты по обязательству: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i/>
                <w:iCs/>
              </w:rPr>
              <w:t>Итого по обязательству: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i/>
                <w:iCs/>
              </w:rPr>
              <w:t>Итого по обязательству: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i/>
                <w:iCs/>
              </w:rPr>
              <w:t>Итого по обязательству: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98929847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rPr>
                <w:b/>
                <w:bCs/>
                <w:i/>
                <w:iCs/>
              </w:rPr>
              <w:lastRenderedPageBreak/>
              <w:t>Итого по суммам, списанным в счет уплаты по обязательству: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628730908"/>
        </w:trPr>
        <w:tc>
          <w:tcPr>
            <w:tcW w:w="1145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28730908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Настоящая справка не является документом, подтверждающим исполнение организацией, индивидуальным предпринимателем, физическим лицом не являющимся индивидуальным предпринимателем обязанности по уплате налогов, сборов, страховых взносов, пеней, штрафов, проц</w:t>
            </w:r>
            <w:r>
              <w:t>ентов.</w:t>
            </w:r>
          </w:p>
        </w:tc>
      </w:tr>
      <w:tr w:rsidR="00000000">
        <w:trPr>
          <w:divId w:val="1628730908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28730908"/>
        </w:trPr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28730908"/>
        </w:trPr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(Наименование и код налогового органа, сформировавшего справку)</w:t>
            </w:r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Приложение № 2</w:t>
      </w:r>
      <w:r>
        <w:rPr>
          <w:rFonts w:ascii="PT Serif" w:hAnsi="PT Serif"/>
        </w:rPr>
        <w:br/>
      </w:r>
      <w:r>
        <w:rPr>
          <w:rFonts w:ascii="PT Serif" w:hAnsi="PT Serif"/>
        </w:rPr>
        <w:t>к приказу ФНС России</w:t>
      </w:r>
      <w:r>
        <w:rPr>
          <w:rFonts w:ascii="PT Serif" w:hAnsi="PT Serif"/>
        </w:rPr>
        <w:br/>
      </w:r>
      <w:r>
        <w:rPr>
          <w:rFonts w:ascii="PT Serif" w:hAnsi="PT Serif"/>
        </w:rPr>
        <w:t>от 30 ноября 2022 года № ЕД-7-8/1129</w:t>
      </w:r>
      <w:r>
        <w:rPr>
          <w:rFonts w:ascii="PT Serif" w:hAnsi="PT Serif"/>
        </w:rPr>
        <w:t>@</w:t>
      </w:r>
    </w:p>
    <w:p w:rsidR="00000000" w:rsidRDefault="003D58B3">
      <w:pPr>
        <w:divId w:val="642932889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 2. </w:t>
      </w:r>
      <w:r>
        <w:rPr>
          <w:rStyle w:val="docsupplement-name"/>
          <w:rFonts w:ascii="PT Serif" w:eastAsia="Times New Roman" w:hAnsi="PT Serif"/>
        </w:rPr>
        <w:t>Формат представления справки о принадлежности сумм денежных средств, перечисленных в кач</w:t>
      </w:r>
      <w:r>
        <w:rPr>
          <w:rStyle w:val="docsupplement-name"/>
          <w:rFonts w:ascii="PT Serif" w:eastAsia="Times New Roman" w:hAnsi="PT Serif"/>
        </w:rPr>
        <w:t>естве единого налогового платежа налогоплательщика, плательщика сбора, плательщика страховых взносов или налогового агента, в электронной форм</w:t>
      </w:r>
      <w:r>
        <w:rPr>
          <w:rStyle w:val="docsupplement-name"/>
          <w:rFonts w:ascii="PT Serif" w:eastAsia="Times New Roman" w:hAnsi="PT Serif"/>
        </w:rPr>
        <w:t>е</w:t>
      </w:r>
    </w:p>
    <w:p w:rsidR="00000000" w:rsidRDefault="003D58B3">
      <w:pPr>
        <w:divId w:val="16821243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1. Настоящий формат описывает требования к XML-файлам передачи налоговым органом в электронной форме по телекоммуникационным каналам связи справки о принадлежности сумм денежных средств, перечисленных в качестве единого налогового платежа налогоплательщика</w:t>
      </w:r>
      <w:r>
        <w:rPr>
          <w:rFonts w:ascii="PT Serif" w:hAnsi="PT Serif"/>
        </w:rPr>
        <w:t>, плательщика сбора, плательщика страховых взносов или налогового агента (далее - файл обмена)</w:t>
      </w:r>
      <w:r>
        <w:rPr>
          <w:rFonts w:ascii="PT Serif" w:hAnsi="PT Serif"/>
        </w:rPr>
        <w:t>.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2. Номер версии настоящего формата 5.01, часть 302.01</w:t>
      </w:r>
      <w:r>
        <w:rPr>
          <w:rFonts w:ascii="PT Serif" w:hAnsi="PT Serif"/>
        </w:rPr>
        <w:t>.</w:t>
      </w:r>
    </w:p>
    <w:p w:rsidR="00000000" w:rsidRDefault="003D58B3">
      <w:pPr>
        <w:divId w:val="19559424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Описание файла обмен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 xml:space="preserve">3. </w:t>
      </w:r>
      <w:r>
        <w:rPr>
          <w:rFonts w:ascii="PT Serif" w:hAnsi="PT Serif"/>
          <w:b/>
          <w:bCs/>
        </w:rPr>
        <w:t xml:space="preserve">Имя файла обмена </w:t>
      </w:r>
      <w:r>
        <w:rPr>
          <w:rFonts w:ascii="PT Serif" w:hAnsi="PT Serif"/>
        </w:rPr>
        <w:t>должно иметь следующий вид:</w:t>
      </w:r>
      <w:r>
        <w:rPr>
          <w:rFonts w:ascii="PT Serif" w:hAnsi="PT Serif"/>
        </w:rPr>
        <w:t xml:space="preserve"> 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R_T_A_K_O_GGGGMMDD_N</w:t>
      </w:r>
      <w:r>
        <w:rPr>
          <w:rFonts w:ascii="PT Serif" w:hAnsi="PT Serif"/>
          <w:b/>
          <w:bCs/>
        </w:rPr>
        <w:t xml:space="preserve"> , </w:t>
      </w:r>
      <w:r>
        <w:rPr>
          <w:rFonts w:ascii="PT Serif" w:hAnsi="PT Serif"/>
        </w:rPr>
        <w:t>где</w:t>
      </w:r>
      <w:r>
        <w:rPr>
          <w:rFonts w:ascii="PT Serif" w:hAnsi="PT Serif"/>
        </w:rPr>
        <w:t>: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R_T</w:t>
      </w:r>
      <w:r>
        <w:rPr>
          <w:rFonts w:ascii="PT Serif" w:hAnsi="PT Serif"/>
        </w:rPr>
        <w:t xml:space="preserve"> - префикс, принимающий значение: IU_SPPRINSUMENP</w:t>
      </w:r>
      <w:r>
        <w:rPr>
          <w:rFonts w:ascii="PT Serif" w:hAnsi="PT Serif"/>
        </w:rPr>
        <w:t>;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A_K</w:t>
      </w:r>
      <w:r>
        <w:rPr>
          <w:rFonts w:ascii="PT Serif" w:hAnsi="PT Serif"/>
        </w:rPr>
        <w:t xml:space="preserve">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</w:t>
      </w:r>
      <w:r>
        <w:rPr>
          <w:rFonts w:ascii="PT Serif" w:hAnsi="PT Serif"/>
        </w:rPr>
        <w:t xml:space="preserve">файла обмена. Передача файла 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</w:t>
      </w:r>
      <w:r>
        <w:rPr>
          <w:rFonts w:ascii="PT Serif" w:hAnsi="PT Serif"/>
        </w:rPr>
        <w:lastRenderedPageBreak/>
        <w:t>обозначаются идентификатором А. В случае передачи ф</w:t>
      </w:r>
      <w:r>
        <w:rPr>
          <w:rFonts w:ascii="PT Serif" w:hAnsi="PT Serif"/>
        </w:rPr>
        <w:t>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А и К совпадают. Каждый из идентификаторов (A и K) имеет вид</w:t>
      </w:r>
      <w:r>
        <w:rPr>
          <w:rFonts w:ascii="PT Serif" w:hAnsi="PT Serif"/>
        </w:rPr>
        <w:t>: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для организаций - девятнадцатиразрядный код</w:t>
      </w:r>
      <w:r>
        <w:rPr>
          <w:rFonts w:ascii="PT Serif" w:hAnsi="PT Serif"/>
        </w:rPr>
        <w:t xml:space="preserve"> (идентификационный номер налогоплательщика, плательщика сбора, плательщика страховых взносов или налогового агента (далее - ИНН) и код причины постановки на учет (далее - КПП) организации (обособленного подразделения)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для физических лиц - двенадцатиразр</w:t>
      </w:r>
      <w:r>
        <w:rPr>
          <w:rFonts w:ascii="PT Serif" w:hAnsi="PT Serif"/>
        </w:rPr>
        <w:t>ядный код (ИНН физического лица, при наличии. При отсутствии ИНН - последовательность из двенадцати нулей)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b/>
          <w:bCs/>
          <w:i/>
          <w:iCs/>
        </w:rPr>
        <w:t>О</w:t>
      </w:r>
      <w:r>
        <w:rPr>
          <w:rFonts w:ascii="PT Serif" w:hAnsi="PT Serif"/>
        </w:rPr>
        <w:t xml:space="preserve"> - идентификатор отправителя информации, имеет вид для налоговых органов - четырехразрядный код налогового органа</w:t>
      </w:r>
      <w:r>
        <w:rPr>
          <w:rFonts w:ascii="PT Serif" w:hAnsi="PT Serif"/>
        </w:rPr>
        <w:t>;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GGGG</w:t>
      </w:r>
      <w:r>
        <w:rPr>
          <w:rFonts w:ascii="PT Serif" w:hAnsi="PT Serif"/>
        </w:rPr>
        <w:t xml:space="preserve"> - год формирования передав</w:t>
      </w:r>
      <w:r>
        <w:rPr>
          <w:rFonts w:ascii="PT Serif" w:hAnsi="PT Serif"/>
        </w:rPr>
        <w:t xml:space="preserve">аемого файла, </w:t>
      </w:r>
      <w:r>
        <w:rPr>
          <w:rFonts w:ascii="PT Serif" w:hAnsi="PT Serif"/>
          <w:b/>
          <w:bCs/>
          <w:i/>
          <w:iCs/>
        </w:rPr>
        <w:t>MM</w:t>
      </w:r>
      <w:r>
        <w:rPr>
          <w:rFonts w:ascii="PT Serif" w:hAnsi="PT Serif"/>
        </w:rPr>
        <w:t xml:space="preserve"> - месяц, </w:t>
      </w:r>
      <w:r>
        <w:rPr>
          <w:rFonts w:ascii="PT Serif" w:hAnsi="PT Serif"/>
          <w:b/>
          <w:bCs/>
          <w:i/>
          <w:iCs/>
        </w:rPr>
        <w:t>DD</w:t>
      </w:r>
      <w:r>
        <w:rPr>
          <w:rFonts w:ascii="PT Serif" w:hAnsi="PT Serif"/>
        </w:rPr>
        <w:t xml:space="preserve"> - день</w:t>
      </w:r>
      <w:r>
        <w:rPr>
          <w:rFonts w:ascii="PT Serif" w:hAnsi="PT Serif"/>
        </w:rPr>
        <w:t>;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N</w:t>
      </w:r>
      <w:r>
        <w:rPr>
          <w:rFonts w:ascii="PT Serif" w:hAnsi="PT Serif"/>
        </w:rPr>
        <w:t xml:space="preserve"> - идентификационный номер файла (длина - от 1 до 36 знаков. Идентификационный номер файла должен обеспечивать уникальность файла)</w:t>
      </w:r>
      <w:r>
        <w:rPr>
          <w:rFonts w:ascii="PT Serif" w:hAnsi="PT Serif"/>
        </w:rPr>
        <w:t>.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 xml:space="preserve">Расширение имени файла - xml. Расширение имени файла может указываться как строчными, </w:t>
      </w:r>
      <w:r>
        <w:rPr>
          <w:rFonts w:ascii="PT Serif" w:hAnsi="PT Serif"/>
        </w:rPr>
        <w:t>так и прописными буквами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b/>
          <w:bCs/>
          <w:i/>
          <w:iCs/>
        </w:rPr>
        <w:t>Параметры первой строки файла обмен</w:t>
      </w:r>
      <w:r>
        <w:rPr>
          <w:rFonts w:ascii="PT Serif" w:hAnsi="PT Serif"/>
          <w:b/>
          <w:bCs/>
          <w:i/>
          <w:iCs/>
        </w:rPr>
        <w:t>а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Первая строка XML-файла должна иметь следующий вид</w:t>
      </w:r>
      <w:r>
        <w:rPr>
          <w:rFonts w:ascii="PT Serif" w:hAnsi="PT Serif"/>
        </w:rPr>
        <w:t>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&lt;?xml version ="1.0" encoding ="windows-1251"?</w:t>
      </w:r>
      <w:r>
        <w:rPr>
          <w:rFonts w:ascii="PT Serif" w:hAnsi="PT Serif"/>
        </w:rPr>
        <w:t>&gt;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b/>
          <w:bCs/>
        </w:rPr>
        <w:t xml:space="preserve">Имя файла, содержащего XML схему файла обмена, </w:t>
      </w:r>
      <w:r>
        <w:rPr>
          <w:rFonts w:ascii="PT Serif" w:hAnsi="PT Serif"/>
        </w:rPr>
        <w:t>должно иметь следующий вид</w:t>
      </w:r>
      <w:r>
        <w:rPr>
          <w:rFonts w:ascii="PT Serif" w:hAnsi="PT Serif"/>
        </w:rPr>
        <w:t>: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IU_SPPRINSUMENP</w:t>
      </w:r>
      <w:r>
        <w:rPr>
          <w:rFonts w:ascii="PT Serif" w:hAnsi="PT Serif"/>
        </w:rPr>
        <w:t>_1.302.01.05.01_xx, где xx - номер версии схемы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Расширение имени файла - xsd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XML схема файла обмена приводится отдельным файлом</w:t>
      </w:r>
      <w:r>
        <w:rPr>
          <w:rFonts w:ascii="PT Serif" w:hAnsi="PT Serif"/>
        </w:rPr>
        <w:t>.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 xml:space="preserve">4. </w:t>
      </w:r>
      <w:r>
        <w:rPr>
          <w:rFonts w:ascii="PT Serif" w:hAnsi="PT Serif"/>
          <w:b/>
          <w:bCs/>
        </w:rPr>
        <w:t xml:space="preserve">Логическая модель файла обмена </w:t>
      </w:r>
      <w:r>
        <w:rPr>
          <w:rFonts w:ascii="PT Serif" w:hAnsi="PT Serif"/>
        </w:rPr>
        <w:t>представлена в виде диаграммы структуры файла обмена на рисунке 1 настоящего формата. Эле</w:t>
      </w:r>
      <w:r>
        <w:rPr>
          <w:rFonts w:ascii="PT Serif" w:hAnsi="PT Serif"/>
        </w:rPr>
        <w:t xml:space="preserve">ментами логической модели файла обмена являются элементы и атрибуты XML - файла. Перечень структурных элементов логической модели файла обмена и сведения о них приведены в </w:t>
      </w:r>
      <w:hyperlink r:id="rId17" w:anchor="/document/99/1300338667/XA00M8G2N0/" w:tgtFrame="_self" w:history="1">
        <w:r>
          <w:rPr>
            <w:rStyle w:val="a4"/>
            <w:rFonts w:ascii="PT Serif" w:hAnsi="PT Serif"/>
          </w:rPr>
          <w:t>таблицах 4.1-4.18 настоящего формата</w:t>
        </w:r>
      </w:hyperlink>
      <w:r>
        <w:rPr>
          <w:rFonts w:ascii="PT Serif" w:hAnsi="PT Serif"/>
        </w:rPr>
        <w:t>.</w:t>
      </w:r>
    </w:p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t>Для каждого структурного элемента логической модели файла обмена приводятся следующие сведения</w:t>
      </w:r>
      <w:r>
        <w:rPr>
          <w:rFonts w:ascii="PT Serif" w:hAnsi="PT Serif"/>
        </w:rPr>
        <w:t>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наименование элемента.</w:t>
      </w:r>
      <w:r>
        <w:rPr>
          <w:rFonts w:ascii="PT Serif" w:hAnsi="PT Serif"/>
        </w:rPr>
        <w:t xml:space="preserve"> Приводится полное наименование элемента. В строке </w:t>
      </w:r>
      <w:r>
        <w:rPr>
          <w:rFonts w:ascii="PT Serif" w:hAnsi="PT Serif"/>
        </w:rPr>
        <w:lastRenderedPageBreak/>
        <w:t xml:space="preserve">таблицы могут быть описаны несколько </w:t>
      </w:r>
      <w:r>
        <w:rPr>
          <w:rFonts w:ascii="PT Serif" w:hAnsi="PT Serif"/>
        </w:rPr>
        <w:t>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сокращенное наименование (код) элемента.</w:t>
      </w:r>
      <w:r>
        <w:rPr>
          <w:rFonts w:ascii="PT Serif" w:hAnsi="PT Serif"/>
        </w:rPr>
        <w:t xml:space="preserve"> Приводится сокращенное наименование элемента. Син</w:t>
      </w:r>
      <w:r>
        <w:rPr>
          <w:rFonts w:ascii="PT Serif" w:hAnsi="PT Serif"/>
        </w:rPr>
        <w:t>таксис сокращенного наименования должен удовлетворять спецификации XML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признак типа элемента.</w:t>
      </w:r>
      <w:r>
        <w:rPr>
          <w:rFonts w:ascii="PT Serif" w:hAnsi="PT Serif"/>
        </w:rPr>
        <w:t xml:space="preserve">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</w:t>
      </w:r>
      <w:r>
        <w:rPr>
          <w:rFonts w:ascii="PT Serif" w:hAnsi="PT Serif"/>
        </w:rPr>
        <w:t>й в виде элемента XML-файла, "А" - простой элемент логической модели, реализованный в виде атрибута элемента XML-файла. Простой элемент логической модели не содержит вложенные элементы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формат элемента.</w:t>
      </w:r>
      <w:r>
        <w:rPr>
          <w:rFonts w:ascii="PT Serif" w:hAnsi="PT Serif"/>
        </w:rPr>
        <w:t xml:space="preserve"> Формат элемента представляется следующими условными </w:t>
      </w:r>
      <w:r>
        <w:rPr>
          <w:rFonts w:ascii="PT Serif" w:hAnsi="PT Serif"/>
        </w:rPr>
        <w:t>обозначениями: T - символьная строка; N - числовое значение (целое или дробное)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символ"-" - разделитель, символ "=" </w:t>
      </w:r>
      <w:r>
        <w:rPr>
          <w:rFonts w:ascii="PT Serif" w:hAnsi="PT Serif"/>
        </w:rPr>
        <w:t>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Формат числового значения указывается в </w:t>
      </w:r>
      <w:r>
        <w:rPr>
          <w:rFonts w:ascii="PT Serif" w:hAnsi="PT Serif"/>
        </w:rPr>
        <w:t>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</w:t>
      </w:r>
      <w:r>
        <w:rPr>
          <w:rFonts w:ascii="PT Serif" w:hAnsi="PT Serif"/>
        </w:rPr>
        <w:t>вно 0 (то есть число целое), то формат числового значения имеет вид N(m)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Для простых элементов, являющихся базовыми в XML, например, элемент с типом "date", поле "Формат элемента" не заполняется. Для таких элементов в поле "Дополнительная информация" ука</w:t>
      </w:r>
      <w:r>
        <w:rPr>
          <w:rFonts w:ascii="PT Serif" w:hAnsi="PT Serif"/>
        </w:rPr>
        <w:t>зывается тип базового элемента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признак обязательности элемента</w:t>
      </w:r>
      <w:r>
        <w:rPr>
          <w:rFonts w:ascii="PT Serif" w:hAnsi="PT Serif"/>
        </w:rPr>
        <w:t xml:space="preserve">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</w:t>
      </w:r>
      <w:r>
        <w:rPr>
          <w:rFonts w:ascii="PT Serif" w:hAnsi="PT Serif"/>
        </w:rPr>
        <w:t>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справочнику, кодовому словарю), то признак обязательн</w:t>
      </w:r>
      <w:r>
        <w:rPr>
          <w:rFonts w:ascii="PT Serif" w:hAnsi="PT Serif"/>
        </w:rPr>
        <w:t>ости элемента дополняется символом "К". В случае, если количество реализаций элемента может быть более одной, то признак обязательности элемента дополняется символом "М"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t>К вышеперечисленным признакам обязательности элемента может добавляться значение "У"</w:t>
      </w:r>
      <w:r>
        <w:rPr>
          <w:rFonts w:ascii="PT Serif" w:hAnsi="PT Serif"/>
        </w:rPr>
        <w:t xml:space="preserve"> в случае описания в XML схеме условий, предъявляемых к элементу в файле обмена, описанных в графе "Дополнительная информация"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дополнительная информация</w:t>
      </w:r>
      <w:r>
        <w:rPr>
          <w:rFonts w:ascii="PT Serif" w:hAnsi="PT Serif"/>
        </w:rPr>
        <w:t xml:space="preserve"> содержит, при необходимости, требования к элементу файла обмена, не указанные ранее. Для сложных элем</w:t>
      </w:r>
      <w:r>
        <w:rPr>
          <w:rFonts w:ascii="PT Serif" w:hAnsi="PT Serif"/>
        </w:rPr>
        <w:t>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(справочника, кодового словаря), указывается соответствующее наименование классификатора (справо</w:t>
      </w:r>
      <w:r>
        <w:rPr>
          <w:rFonts w:ascii="PT Serif" w:hAnsi="PT Serif"/>
        </w:rPr>
        <w:t>чника, кодового словаря) или приводится перечень возможных значений. Для классификатора (справочника, 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</w:t>
      </w:r>
      <w:r>
        <w:rPr>
          <w:rFonts w:ascii="PT Serif" w:hAnsi="PT Serif"/>
        </w:rPr>
        <w:t>ого элемента</w:t>
      </w:r>
      <w:r>
        <w:rPr>
          <w:rFonts w:ascii="PT Serif" w:hAnsi="PT Serif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874460364"/>
        </w:trPr>
        <w:tc>
          <w:tcPr>
            <w:tcW w:w="1145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874460364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46295" cy="8272145"/>
                  <wp:effectExtent l="0" t="0" r="1905" b="0"/>
                  <wp:docPr id="5" name="Рисунок 5" descr="https://vip.gosfinansy.ru/system/content/image/25/1/28479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gosfinansy.ru/system/content/image/25/1/28479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295" cy="827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D58B3">
      <w:pPr>
        <w:pStyle w:val="align-center"/>
        <w:divId w:val="1628730908"/>
        <w:rPr>
          <w:rFonts w:ascii="PT Serif" w:hAnsi="PT Serif"/>
        </w:rPr>
      </w:pPr>
      <w:r>
        <w:rPr>
          <w:rFonts w:ascii="PT Serif" w:hAnsi="PT Serif"/>
        </w:rPr>
        <w:t>Рисунок 1. Диаграмма структуры файла обмена</w:t>
      </w:r>
      <w:r>
        <w:rPr>
          <w:rFonts w:ascii="PT Serif" w:hAnsi="PT Serif"/>
        </w:rPr>
        <w:t xml:space="preserve"> </w:t>
      </w:r>
    </w:p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702743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Файл обмена (Файл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47"/>
        <w:gridCol w:w="1876"/>
        <w:gridCol w:w="1191"/>
        <w:gridCol w:w="1098"/>
        <w:gridCol w:w="1191"/>
        <w:gridCol w:w="2152"/>
      </w:tblGrid>
      <w:tr w:rsidR="00000000">
        <w:trPr>
          <w:divId w:val="163978714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9787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639787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Идентификатор файла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ИдФайл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T(1-255)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Содержит (повторяет) имя сформированного файла (без расширения)</w:t>
            </w:r>
          </w:p>
        </w:tc>
      </w:tr>
      <w:tr w:rsidR="00000000">
        <w:trPr>
          <w:divId w:val="1639787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Версия программы, с помощью которой сформирован файл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ВерсПрог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T(1-40)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639787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Версия формата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ВерсФорм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Принимает значение: 5.01 </w:t>
            </w:r>
          </w:p>
        </w:tc>
      </w:tr>
      <w:tr w:rsidR="00000000">
        <w:trPr>
          <w:divId w:val="1639787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Идентификатор файла запроса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ИдФайлЗапр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T(1-255)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Содержит (повторяет) имя файла запроса (без расширения)</w:t>
            </w:r>
          </w:p>
        </w:tc>
      </w:tr>
      <w:tr w:rsidR="00000000">
        <w:trPr>
          <w:divId w:val="16397871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и структура документа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Документ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19" w:anchor="/document/99/1300338667/XA00M922N3/" w:tgtFrame="_self" w:history="1">
              <w:r>
                <w:rPr>
                  <w:color w:val="0000FF"/>
                  <w:u w:val="single"/>
                </w:rPr>
                <w:t>таблице 4.2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4.2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13263952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Состав и структура документа (Документ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3"/>
        <w:gridCol w:w="2429"/>
        <w:gridCol w:w="1167"/>
        <w:gridCol w:w="1095"/>
        <w:gridCol w:w="1167"/>
        <w:gridCol w:w="1993"/>
      </w:tblGrid>
      <w:tr w:rsidR="00000000">
        <w:trPr>
          <w:divId w:val="450713229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5071322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45071322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Код формы по КНД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КНД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T(=7)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</w:t>
            </w:r>
            <w:r>
              <w:lastRenderedPageBreak/>
              <w:t xml:space="preserve">&lt;КНДТип&gt;. </w:t>
            </w:r>
            <w:r>
              <w:br/>
            </w:r>
            <w:r>
              <w:br/>
            </w:r>
            <w:r>
              <w:t xml:space="preserve">Принимает значение: 1120502 </w:t>
            </w:r>
          </w:p>
        </w:tc>
      </w:tr>
      <w:tr w:rsidR="00000000">
        <w:trPr>
          <w:divId w:val="45071322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Номер справки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НомСправ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T(1-50)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5071322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Дата формирования справки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ДатаСправ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45071322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Сведения об отправителе документа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СвОтпр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20" w:anchor="/document/99/1300338667/XA00M9K2N6/" w:tgtFrame="_self" w:history="1">
              <w:r>
                <w:rPr>
                  <w:color w:val="0000FF"/>
                  <w:u w:val="single"/>
                </w:rPr>
                <w:t>таблице 4.3</w:t>
              </w:r>
            </w:hyperlink>
          </w:p>
        </w:tc>
      </w:tr>
      <w:tr w:rsidR="00000000">
        <w:trPr>
          <w:divId w:val="45071322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Сведения о получателе документа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СвПолуч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21" w:anchor="/document/99/1300338667/XA00MA62N9/" w:tgtFrame="_self" w:history="1">
              <w:r>
                <w:rPr>
                  <w:color w:val="0000FF"/>
                  <w:u w:val="single"/>
                </w:rPr>
                <w:t>таблице 4.4</w:t>
              </w:r>
            </w:hyperlink>
          </w:p>
        </w:tc>
      </w:tr>
      <w:tr w:rsidR="00000000">
        <w:trPr>
          <w:divId w:val="45071322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Сведения о налогоплательщике, плательщике сбора, плательщике страховых взносов, налоговом агенте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СвНП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22" w:anchor="/document/99/1300338667/XA00M6S2MI/" w:tgtFrame="_self" w:history="1">
              <w:r>
                <w:rPr>
                  <w:color w:val="0000FF"/>
                  <w:u w:val="single"/>
                </w:rPr>
                <w:t>таблице 4.7</w:t>
              </w:r>
            </w:hyperlink>
          </w:p>
        </w:tc>
      </w:tr>
      <w:tr w:rsidR="00000000">
        <w:trPr>
          <w:divId w:val="45071322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Сведения о подписанте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Подписант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23" w:anchor="/document/99/1300338667/XA00M902N2/" w:tgtFrame="_self" w:history="1">
              <w:r>
                <w:rPr>
                  <w:color w:val="0000FF"/>
                  <w:u w:val="single"/>
                </w:rPr>
                <w:t>таблице 4.10</w:t>
              </w:r>
            </w:hyperlink>
          </w:p>
        </w:tc>
      </w:tr>
      <w:tr w:rsidR="00000000">
        <w:trPr>
          <w:divId w:val="45071322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Справка о принадлежности сумм денежных средств, перечисленных в качестве единого налогового платежа налогоплательщика, плательщика сбора, пл</w:t>
            </w:r>
            <w:r>
              <w:t xml:space="preserve">ательщика страховых взносов или налогового </w:t>
            </w:r>
            <w:r>
              <w:lastRenderedPageBreak/>
              <w:t xml:space="preserve">агента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lastRenderedPageBreak/>
              <w:t xml:space="preserve">СпрПринДенСрЕНП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24" w:anchor="/document/99/1300338667/XA00M9I2N5/" w:tgtFrame="_self" w:history="1">
              <w:r>
                <w:rPr>
                  <w:color w:val="0000FF"/>
                  <w:u w:val="single"/>
                </w:rPr>
                <w:t>таблице 4.11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lastRenderedPageBreak/>
        <w:t>Таблица 4.3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21214140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об отправителе документа (СвОтпр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150"/>
        <w:gridCol w:w="1202"/>
        <w:gridCol w:w="2004"/>
      </w:tblGrid>
      <w:tr w:rsidR="00000000">
        <w:trPr>
          <w:divId w:val="256138587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25613858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25613858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Наименование налогового органа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НаимНО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T(1-1000)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25613858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Код налогового органа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КодНО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&lt;СОНОТип&gt;</w:t>
            </w:r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4.4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18895965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получателе документа (СвПолуч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0"/>
        <w:gridCol w:w="1894"/>
        <w:gridCol w:w="1185"/>
        <w:gridCol w:w="1097"/>
        <w:gridCol w:w="1185"/>
        <w:gridCol w:w="2024"/>
      </w:tblGrid>
      <w:tr w:rsidR="00000000">
        <w:trPr>
          <w:divId w:val="1842506766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84250676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84250676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Признак получателя - уполномоченного представителя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ПризПолучУП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Принимает значение:</w:t>
            </w:r>
            <w:r>
              <w:br/>
            </w:r>
            <w:r>
              <w:br/>
            </w:r>
            <w:r>
              <w:t>1 - нет |</w:t>
            </w:r>
            <w:r>
              <w:br/>
            </w:r>
            <w:r>
              <w:br/>
            </w:r>
            <w:r>
              <w:t xml:space="preserve">2 - да </w:t>
            </w:r>
          </w:p>
        </w:tc>
      </w:tr>
      <w:tr w:rsidR="00000000">
        <w:trPr>
          <w:divId w:val="184250676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Сведения о получателе - организации |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ПолучЮЛ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25" w:anchor="/document/99/1300338667/XA00M5O2MC/" w:tgtFrame="_self" w:history="1">
              <w:r>
                <w:rPr>
                  <w:color w:val="0000FF"/>
                  <w:u w:val="single"/>
                </w:rPr>
                <w:t>таблице 4.5</w:t>
              </w:r>
            </w:hyperlink>
          </w:p>
        </w:tc>
      </w:tr>
      <w:tr w:rsidR="00000000">
        <w:trPr>
          <w:divId w:val="1842506766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Сведения о получателе - физическом лице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ПолучФЛ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26" w:anchor="/document/99/1300338667/XA00M6A2MF/" w:tgtFrame="_self" w:history="1">
              <w:r>
                <w:rPr>
                  <w:color w:val="0000FF"/>
                  <w:u w:val="single"/>
                </w:rPr>
                <w:t>таблице 4.6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lastRenderedPageBreak/>
        <w:t>Таблица 4.5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4899098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получателе - организации (ПолучЮЛ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150"/>
        <w:gridCol w:w="1202"/>
        <w:gridCol w:w="2004"/>
      </w:tblGrid>
      <w:tr w:rsidR="00000000">
        <w:trPr>
          <w:divId w:val="579218252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57921825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57921825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Наименование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НаимОрг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</w:t>
            </w:r>
            <w:r>
              <w:t>1000)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57921825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ИНН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ИННЮЛ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&lt;ИННЮЛТип&gt;</w:t>
            </w:r>
          </w:p>
        </w:tc>
      </w:tr>
      <w:tr w:rsidR="00000000">
        <w:trPr>
          <w:divId w:val="57921825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КПП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КПП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&lt;КППТип&gt;</w:t>
            </w:r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4.6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8690749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получателе - физическом лице (ПолучФЛ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81"/>
        <w:gridCol w:w="1793"/>
        <w:gridCol w:w="1175"/>
        <w:gridCol w:w="1096"/>
        <w:gridCol w:w="1175"/>
        <w:gridCol w:w="2535"/>
      </w:tblGrid>
      <w:tr w:rsidR="00000000">
        <w:trPr>
          <w:divId w:val="712659203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7126592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7126592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ИНН физического лица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ИННФЛ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&lt;ИННФЛТип&gt;. </w:t>
            </w:r>
            <w:r>
              <w:br/>
            </w:r>
            <w:r>
              <w:br/>
            </w:r>
            <w:r>
              <w:t xml:space="preserve">При отсутствии ИНН у физического лица значение элемента заполняется последовательностью из двенадцати нулей </w:t>
            </w:r>
          </w:p>
        </w:tc>
      </w:tr>
      <w:tr w:rsidR="00000000">
        <w:trPr>
          <w:divId w:val="7126592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Фамилия, имя, отчество (при наличии) физического </w:t>
            </w:r>
            <w:r>
              <w:lastRenderedPageBreak/>
              <w:t xml:space="preserve">лица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lastRenderedPageBreak/>
              <w:t xml:space="preserve">ФИО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&lt;ФИОТип&gt;. 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27" w:anchor="/document/99/1300338667/XA00M8G2MQ/" w:tgtFrame="_self" w:history="1">
              <w:r>
                <w:rPr>
                  <w:color w:val="0000FF"/>
                  <w:u w:val="single"/>
                </w:rPr>
                <w:t>таблице 4.18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lastRenderedPageBreak/>
        <w:t>Таблица 4.7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17800256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налогоплательщике (плательщике сбора, плательщике страховых взносов, налоговом агенте) (СвНП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9"/>
        <w:gridCol w:w="1805"/>
        <w:gridCol w:w="1177"/>
        <w:gridCol w:w="1096"/>
        <w:gridCol w:w="1177"/>
        <w:gridCol w:w="2011"/>
      </w:tblGrid>
      <w:tr w:rsidR="00000000">
        <w:trPr>
          <w:divId w:val="1737315054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73731505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737315054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Налогоплательщик, плательщик сбора, плательщик страховых взносов, налоговый агент - организация |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НПЮЛ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28" w:anchor="/document/99/1300338667/XA00M7E2ML/" w:tgtFrame="_self" w:history="1">
              <w:r>
                <w:rPr>
                  <w:color w:val="0000FF"/>
                  <w:u w:val="single"/>
                </w:rPr>
                <w:t>таблице 4.8</w:t>
              </w:r>
            </w:hyperlink>
          </w:p>
        </w:tc>
      </w:tr>
      <w:tr w:rsidR="00000000">
        <w:trPr>
          <w:divId w:val="1737315054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Налогоплательщик, плательщик сбора, плательщик страховых взносов, налоговый агент - физическое лицо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НПФЛ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29" w:anchor="/document/99/1300338667/XA00M802MO/" w:tgtFrame="_self" w:history="1">
              <w:r>
                <w:rPr>
                  <w:color w:val="0000FF"/>
                  <w:u w:val="single"/>
                </w:rPr>
                <w:t>таблице 4.9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4.8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18248093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Налогоплательщик (плательщик сбора, плательщик страховых взносов, налоговый агент) - организация (НПЮЛ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150"/>
        <w:gridCol w:w="1202"/>
        <w:gridCol w:w="2004"/>
      </w:tblGrid>
      <w:tr w:rsidR="00000000">
        <w:trPr>
          <w:divId w:val="125322179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2532217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2532217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Полное наименование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НаимОрг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T(1-1000)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2532217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ИНН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ИННЮЛ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</w:t>
            </w:r>
            <w:r>
              <w:lastRenderedPageBreak/>
              <w:t>&lt;ИННЮЛТип&gt;</w:t>
            </w:r>
          </w:p>
        </w:tc>
      </w:tr>
      <w:tr w:rsidR="00000000">
        <w:trPr>
          <w:divId w:val="12532217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КПП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КПП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&lt;КППТип&gt;</w:t>
            </w:r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4.9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73651931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Налогоплательщик (плательщик сбора, плательщик страховых взносов, налоговый агент) - физическое лицо (НПФЛ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099"/>
        <w:gridCol w:w="1202"/>
        <w:gridCol w:w="2055"/>
      </w:tblGrid>
      <w:tr w:rsidR="00000000">
        <w:trPr>
          <w:divId w:val="482743467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48274346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>та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48274346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ИНН физического лица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ИННФЛ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&lt;ИННФЛТип&gt;</w:t>
            </w:r>
          </w:p>
        </w:tc>
      </w:tr>
      <w:tr w:rsidR="00000000">
        <w:trPr>
          <w:divId w:val="48274346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Фамилия, имя, отчество (при наличии) физического лица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ФИО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&lt;ФИОТип&gt;. 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30" w:anchor="/document/99/1300338667/XA00M8G2MQ/" w:tgtFrame="_self" w:history="1">
              <w:r>
                <w:rPr>
                  <w:color w:val="0000FF"/>
                  <w:u w:val="single"/>
                </w:rPr>
                <w:t>таблице 4.18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4.10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1802426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подписанте (Подписант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150"/>
        <w:gridCol w:w="1202"/>
        <w:gridCol w:w="2004"/>
      </w:tblGrid>
      <w:tr w:rsidR="00000000">
        <w:trPr>
          <w:divId w:val="2128237672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212823767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Наименование элемента</w:t>
            </w:r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212823767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Должность лица, подписавшего документ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Должн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T(1-128)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212823767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Наименование налогового </w:t>
            </w:r>
            <w:r>
              <w:lastRenderedPageBreak/>
              <w:t xml:space="preserve">органа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lastRenderedPageBreak/>
              <w:t xml:space="preserve">НаимНО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</w:t>
            </w:r>
            <w:r>
              <w:lastRenderedPageBreak/>
              <w:t>1000)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lastRenderedPageBreak/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212823767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Код налогового органа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КодНО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&lt;СОНОТип&gt;</w:t>
            </w:r>
          </w:p>
        </w:tc>
      </w:tr>
      <w:tr w:rsidR="00000000">
        <w:trPr>
          <w:divId w:val="212823767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Фамилия, имя, отчество (при наличии)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ФИО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&lt;ФИОТип&gt;. 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31" w:anchor="/document/99/1300338667/XA00M8G2MQ/" w:tgtFrame="_self" w:history="1">
              <w:r>
                <w:rPr>
                  <w:color w:val="0000FF"/>
                  <w:u w:val="single"/>
                </w:rPr>
                <w:t>таблице 4.18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4.11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17343469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Справка о принадлежности сумм денежных средств, перечисленных в качестве единого налогового платежа нало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гоплательщика, плательщика сбора, плательщика страховых взносов или налогового агента (СпрПринДенСрЕНП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77"/>
        <w:gridCol w:w="2052"/>
        <w:gridCol w:w="1194"/>
        <w:gridCol w:w="1098"/>
        <w:gridCol w:w="1194"/>
        <w:gridCol w:w="2040"/>
      </w:tblGrid>
      <w:tr w:rsidR="00000000">
        <w:trPr>
          <w:divId w:val="144517703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445177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445177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Дата начала периода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ДатаНачПериод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1445177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Остаток на начало периода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ОстНачПериод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445177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Поступления за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ПоступПериод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445177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Списания за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СписанПериод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445177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Дата окончания периода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ДатаКонПериод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lastRenderedPageBreak/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1445177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Остаток на окончание периода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ОстКонПериод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445177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Поступления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Поступления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32" w:anchor="/document/99/1300338667/XA00MA42N8/" w:tgtFrame="_self" w:history="1">
              <w:r>
                <w:rPr>
                  <w:color w:val="0000FF"/>
                  <w:u w:val="single"/>
                </w:rPr>
                <w:t>таблице 4.12</w:t>
              </w:r>
            </w:hyperlink>
          </w:p>
        </w:tc>
      </w:tr>
      <w:tr w:rsidR="00000000">
        <w:trPr>
          <w:divId w:val="1445177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Списания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Списания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33" w:anchor="/document/99/1300338667/XA00MB82NE/" w:tgtFrame="_self" w:history="1">
              <w:r>
                <w:rPr>
                  <w:color w:val="0000FF"/>
                  <w:u w:val="single"/>
                </w:rPr>
                <w:t>таблице 4.14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4.12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14649585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Поступления (Поступления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2052"/>
        <w:gridCol w:w="1167"/>
        <w:gridCol w:w="1095"/>
        <w:gridCol w:w="1167"/>
        <w:gridCol w:w="2408"/>
      </w:tblGrid>
      <w:tr w:rsidR="00000000">
        <w:trPr>
          <w:divId w:val="1889144922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8891449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8891449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Итого по платежам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ПлатежИтог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8891449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Итого по зачетам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ЗачетИтог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8891449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Итого по суммам, учтенным с обязательств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СумОбязИтог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8891449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Платежи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Платежи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&lt;СведПоступлТип&gt;. 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34" w:anchor="/document/99/1300338667/XA00M7C2MK/" w:tgtFrame="_self" w:history="1">
              <w:r>
                <w:rPr>
                  <w:color w:val="0000FF"/>
                  <w:u w:val="single"/>
                </w:rPr>
                <w:t>таблице 4.16</w:t>
              </w:r>
            </w:hyperlink>
          </w:p>
        </w:tc>
      </w:tr>
      <w:tr w:rsidR="00000000">
        <w:trPr>
          <w:divId w:val="18891449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Зачет от </w:t>
            </w:r>
            <w:r>
              <w:lastRenderedPageBreak/>
              <w:t xml:space="preserve">иного лица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lastRenderedPageBreak/>
              <w:t xml:space="preserve">ЗачетИнЛиц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&lt;СведПоступлТип&gt;. </w:t>
            </w:r>
            <w:r>
              <w:br/>
            </w:r>
            <w:r>
              <w:lastRenderedPageBreak/>
              <w:br/>
            </w:r>
            <w:r>
              <w:t xml:space="preserve">Состав элемента представлен в </w:t>
            </w:r>
            <w:hyperlink r:id="rId35" w:anchor="/document/99/1300338667/XA00M7C2MK/" w:tgtFrame="_self" w:history="1">
              <w:r>
                <w:rPr>
                  <w:color w:val="0000FF"/>
                  <w:u w:val="single"/>
                </w:rPr>
                <w:t>таблице 4.16</w:t>
              </w:r>
            </w:hyperlink>
          </w:p>
        </w:tc>
      </w:tr>
      <w:tr w:rsidR="00000000">
        <w:trPr>
          <w:divId w:val="188914492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Учет переплаты с обязательства, итого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УчетПереплИтог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36" w:anchor="/document/99/1300338667/XA00MAM2NB/" w:tgtFrame="_self" w:history="1">
              <w:r>
                <w:rPr>
                  <w:color w:val="0000FF"/>
                  <w:u w:val="single"/>
                </w:rPr>
                <w:t>таблице 4.13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4.13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13400391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Учет переплаты с обязательства, итого (УчетПереплИтог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57"/>
        <w:gridCol w:w="1829"/>
        <w:gridCol w:w="1182"/>
        <w:gridCol w:w="1097"/>
        <w:gridCol w:w="1182"/>
        <w:gridCol w:w="2408"/>
      </w:tblGrid>
      <w:tr w:rsidR="00000000">
        <w:trPr>
          <w:divId w:val="729305723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72930572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72930572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Обязательство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Обязател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T(1-255)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72930572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Итого по обязательству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ИтогОбяз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72930572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Учет переплаты с обязательства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УчетПерепл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&lt;СведПоступлТип&gt;. 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37" w:anchor="/document/99/1300338667/XA00M7C2MK/" w:tgtFrame="_self" w:history="1">
              <w:r>
                <w:rPr>
                  <w:color w:val="0000FF"/>
                  <w:u w:val="single"/>
                </w:rPr>
                <w:t>таблице 4.16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4.14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5458009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Списания (Списания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8"/>
        <w:gridCol w:w="2335"/>
        <w:gridCol w:w="1167"/>
        <w:gridCol w:w="1095"/>
        <w:gridCol w:w="1167"/>
        <w:gridCol w:w="2293"/>
      </w:tblGrid>
      <w:tr w:rsidR="00000000">
        <w:trPr>
          <w:divId w:val="890961975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89096197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89096197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Итого по зачету иному </w:t>
            </w:r>
            <w:r>
              <w:lastRenderedPageBreak/>
              <w:t xml:space="preserve">лицу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lastRenderedPageBreak/>
              <w:t xml:space="preserve">ЗачетИтог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89096197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Итого по возврату денежных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ВозвратИтог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89096197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Итого по суммам, списанным в счет уплаты по обязательству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СписаниеИтог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89096197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Зачет иному лицу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ЗачетИнЛиц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&lt;СведСписанТип&gt;.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38" w:anchor="/document/99/1300338667/XA00M7U2MN/" w:tgtFrame="_self" w:history="1">
              <w:r>
                <w:rPr>
                  <w:color w:val="0000FF"/>
                  <w:u w:val="single"/>
                </w:rPr>
                <w:t>таблице 4.17</w:t>
              </w:r>
            </w:hyperlink>
          </w:p>
        </w:tc>
      </w:tr>
      <w:tr w:rsidR="00000000">
        <w:trPr>
          <w:divId w:val="89096197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Возврат денежных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ВозвратДенСр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&lt;СведСписанТип&gt;.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39" w:anchor="/document/99/1300338667/XA00M7U2MN/" w:tgtFrame="_self" w:history="1">
              <w:r>
                <w:rPr>
                  <w:color w:val="0000FF"/>
                  <w:u w:val="single"/>
                </w:rPr>
                <w:t>таблице 4.17</w:t>
              </w:r>
            </w:hyperlink>
          </w:p>
        </w:tc>
      </w:tr>
      <w:tr w:rsidR="00000000">
        <w:trPr>
          <w:divId w:val="89096197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Списание в счет уплаты по обязательству, итого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Сп</w:t>
            </w:r>
            <w:r>
              <w:t xml:space="preserve">исанСчОбязИтог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Состав элемента представлен в </w:t>
            </w:r>
            <w:hyperlink r:id="rId40" w:anchor="/document/99/1300338667/XA00M6Q2MH/" w:tgtFrame="_self" w:history="1">
              <w:r>
                <w:rPr>
                  <w:color w:val="0000FF"/>
                  <w:u w:val="single"/>
                </w:rPr>
                <w:t>таблице 4.15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4.15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6631713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Списание в счет уплаты по обязательству, итого (СписанСчОбязИтог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82"/>
        <w:gridCol w:w="1915"/>
        <w:gridCol w:w="1184"/>
        <w:gridCol w:w="1097"/>
        <w:gridCol w:w="1184"/>
        <w:gridCol w:w="2293"/>
      </w:tblGrid>
      <w:tr w:rsidR="00000000">
        <w:trPr>
          <w:divId w:val="1158883002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15888300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15888300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Обязательство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Обязател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T(1-255)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15888300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Итого по обязательству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ИтогОбяз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15888300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Списание в счет уплаты по обязательству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СписанСчОбяз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&lt;СведСписанТип&gt;.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41" w:anchor="/document/99/1300338667/XA00M7U2MN/" w:tgtFrame="_self" w:history="1">
              <w:r>
                <w:rPr>
                  <w:color w:val="0000FF"/>
                  <w:u w:val="single"/>
                </w:rPr>
                <w:t>таблице 4.17</w:t>
              </w:r>
            </w:hyperlink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4.16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6615437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поступлениях (СведПоступлТип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08"/>
        <w:gridCol w:w="2014"/>
        <w:gridCol w:w="1180"/>
        <w:gridCol w:w="1116"/>
        <w:gridCol w:w="1180"/>
        <w:gridCol w:w="2157"/>
      </w:tblGrid>
      <w:tr w:rsidR="00000000">
        <w:trPr>
          <w:divId w:val="1371883547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37188354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37188354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Наименование показателя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НаимПоказ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T(1-1000)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37188354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Дата поступления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ДатаПоступл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</w:t>
            </w:r>
            <w:r>
              <w:t xml:space="preserve">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137188354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Сумма поступления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СумПоступл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37188354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Код бюджетной классификации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КБК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T(=20)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&lt;КБКТип&gt;. </w:t>
            </w:r>
            <w:r>
              <w:br/>
            </w:r>
            <w:r>
              <w:br/>
            </w:r>
            <w:r>
              <w:t xml:space="preserve">Принимает значение в соответствии с Классификатором кодов классификации доходов бюджетов Российской Федерации </w:t>
            </w:r>
          </w:p>
        </w:tc>
      </w:tr>
      <w:tr w:rsidR="00000000">
        <w:trPr>
          <w:divId w:val="137188354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Код по ОКТМО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ОКТМО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T(=8) | </w:t>
            </w:r>
            <w:r>
              <w:br/>
            </w:r>
            <w:r>
              <w:br/>
            </w:r>
            <w:r>
              <w:t>T(=11)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&lt;ОКТМОТип&gt;. </w:t>
            </w:r>
            <w:r>
              <w:br/>
            </w:r>
            <w:r>
              <w:br/>
            </w:r>
            <w:r>
              <w:t xml:space="preserve">Принимает значение в соответствии с Общероссийским классификатором территорий муниципальных образований </w:t>
            </w:r>
          </w:p>
        </w:tc>
      </w:tr>
      <w:tr w:rsidR="00000000">
        <w:trPr>
          <w:divId w:val="137188354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КПП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КПП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&lt;КППТип&gt;</w:t>
            </w:r>
          </w:p>
        </w:tc>
      </w:tr>
      <w:tr w:rsidR="00000000">
        <w:trPr>
          <w:divId w:val="137188354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Документ основания операции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ДокОснов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T(1-255)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37188354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Итого по виду операции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ИтогВидОперац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4.17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103372665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списаниях (СведСписанТип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08"/>
        <w:gridCol w:w="2014"/>
        <w:gridCol w:w="1180"/>
        <w:gridCol w:w="1116"/>
        <w:gridCol w:w="1180"/>
        <w:gridCol w:w="2157"/>
      </w:tblGrid>
      <w:tr w:rsidR="00000000">
        <w:trPr>
          <w:divId w:val="1980258861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Наименование показателя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НаимПоказ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T(1-1000)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Дата списания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ДатаСписан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Сумма списания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СумСписан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Код бюджетной классификации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КБК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T(=20)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&lt;КБКТип&gt;. </w:t>
            </w:r>
            <w:r>
              <w:br/>
            </w:r>
            <w:r>
              <w:br/>
            </w:r>
            <w:r>
              <w:t xml:space="preserve">Принимает </w:t>
            </w:r>
            <w:r>
              <w:lastRenderedPageBreak/>
              <w:t xml:space="preserve">значение в соответствии с Классификатором кодов классификации доходов бюджетов Российской Федерации </w:t>
            </w: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Код по ОКТМО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ОКТМО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T(=8) | </w:t>
            </w:r>
            <w:r>
              <w:br/>
            </w:r>
            <w:r>
              <w:br/>
            </w:r>
            <w:r>
              <w:t>T(=11)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&lt;ОКТМОТип&gt;. </w:t>
            </w:r>
            <w:r>
              <w:br/>
            </w:r>
            <w:r>
              <w:br/>
            </w:r>
            <w:r>
              <w:t xml:space="preserve">Принимает значение в соответствии с Общероссийским классификатором территорий муниципальных образований </w:t>
            </w: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КПП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КПП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>Типовой элемент &lt;КППТип&gt;</w:t>
            </w: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Срок уплаты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СрокУпл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Документ основания операции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ДокОснов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T(1-255)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198025886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Итого по виду операции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ИтогВидОперац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</w:tbl>
    <w:p w:rsidR="00000000" w:rsidRDefault="003D58B3">
      <w:pPr>
        <w:pStyle w:val="align-right"/>
        <w:divId w:val="1628730908"/>
        <w:rPr>
          <w:rFonts w:ascii="PT Serif" w:hAnsi="PT Serif"/>
        </w:rPr>
      </w:pPr>
      <w:r>
        <w:rPr>
          <w:rFonts w:ascii="PT Serif" w:hAnsi="PT Serif"/>
        </w:rPr>
        <w:t>Таблица 4.18</w:t>
      </w:r>
      <w:r>
        <w:rPr>
          <w:rFonts w:ascii="PT Serif" w:hAnsi="PT Serif"/>
        </w:rPr>
        <w:t xml:space="preserve"> </w:t>
      </w:r>
    </w:p>
    <w:p w:rsidR="00000000" w:rsidRDefault="003D58B3">
      <w:pPr>
        <w:divId w:val="7510512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Фамилия, имя, отчество (ФИОТип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099"/>
        <w:gridCol w:w="1202"/>
        <w:gridCol w:w="2055"/>
      </w:tblGrid>
      <w:tr w:rsidR="00000000">
        <w:trPr>
          <w:divId w:val="596863515"/>
        </w:trPr>
        <w:tc>
          <w:tcPr>
            <w:tcW w:w="314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5968635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5968635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lastRenderedPageBreak/>
              <w:t xml:space="preserve">Фамилия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Фамилия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T(1-60)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5968635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Имя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Имя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T(1-60)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  <w:tr w:rsidR="00000000">
        <w:trPr>
          <w:divId w:val="5968635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formattext"/>
            </w:pPr>
            <w:r>
              <w:t xml:space="preserve">Отчество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Отчество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>T(1-60)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3D58B3">
            <w:pPr>
              <w:rPr>
                <w:rFonts w:eastAsia="Times New Roman"/>
              </w:rPr>
            </w:pPr>
          </w:p>
        </w:tc>
      </w:tr>
    </w:tbl>
    <w:p w:rsidR="00000000" w:rsidRDefault="003D58B3">
      <w:pPr>
        <w:spacing w:after="223"/>
        <w:jc w:val="both"/>
        <w:divId w:val="1628730908"/>
        <w:rPr>
          <w:rFonts w:ascii="PT Serif" w:hAnsi="PT Serif"/>
        </w:rPr>
      </w:pP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</w:p>
    <w:p w:rsidR="003D58B3" w:rsidRDefault="003D58B3">
      <w:pPr>
        <w:divId w:val="124009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https://vip.gosfinansy.ru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06.07.2023</w:t>
      </w:r>
    </w:p>
    <w:sectPr w:rsidR="003D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098A"/>
    <w:rsid w:val="003D58B3"/>
    <w:rsid w:val="00C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styleId="a6">
    <w:name w:val="Balloon Text"/>
    <w:basedOn w:val="a"/>
    <w:link w:val="a7"/>
    <w:uiPriority w:val="99"/>
    <w:semiHidden/>
    <w:unhideWhenUsed/>
    <w:rsid w:val="00CB0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styleId="a6">
    <w:name w:val="Balloon Text"/>
    <w:basedOn w:val="a"/>
    <w:link w:val="a7"/>
    <w:uiPriority w:val="99"/>
    <w:semiHidden/>
    <w:unhideWhenUsed/>
    <w:rsid w:val="00CB09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7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54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90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156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87282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9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3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4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743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3952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4140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596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9098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0749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0256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8093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5193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426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3469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9585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0391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009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1713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5437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7266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512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vip.gosfinansy.ru/system/content/image/25/1/574142/" TargetMode="External"/><Relationship Id="rId18" Type="http://schemas.openxmlformats.org/officeDocument/2006/relationships/image" Target="https://vip.gosfinansy.ru/system/content/image/25/1/2847975/" TargetMode="External"/><Relationship Id="rId26" Type="http://schemas.openxmlformats.org/officeDocument/2006/relationships/hyperlink" Target="https://vip.gosfinansy.ru/" TargetMode="External"/><Relationship Id="rId39" Type="http://schemas.openxmlformats.org/officeDocument/2006/relationships/hyperlink" Target="https://vip.gosfinansy.ru/" TargetMode="External"/><Relationship Id="rId21" Type="http://schemas.openxmlformats.org/officeDocument/2006/relationships/hyperlink" Target="https://vip.gosfinansy.ru/" TargetMode="External"/><Relationship Id="rId34" Type="http://schemas.openxmlformats.org/officeDocument/2006/relationships/hyperlink" Target="https://vip.gosfinansy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ip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41" Type="http://schemas.openxmlformats.org/officeDocument/2006/relationships/hyperlink" Target="https://vip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37" Type="http://schemas.openxmlformats.org/officeDocument/2006/relationships/hyperlink" Target="https://vip.gosfinansy.ru/" TargetMode="External"/><Relationship Id="rId40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36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image" Target="https://vip.gosfinansy.ru/system/content/image/25/1/575999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Relationship Id="rId35" Type="http://schemas.openxmlformats.org/officeDocument/2006/relationships/hyperlink" Target="https://vip.gosfinansy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38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Наталья Николаевна</dc:creator>
  <cp:lastModifiedBy>Ермолина Наталья Николаевна</cp:lastModifiedBy>
  <cp:revision>2</cp:revision>
  <dcterms:created xsi:type="dcterms:W3CDTF">2023-07-06T08:17:00Z</dcterms:created>
  <dcterms:modified xsi:type="dcterms:W3CDTF">2023-07-06T08:17:00Z</dcterms:modified>
</cp:coreProperties>
</file>