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помощника воспитателя</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2. Характеристика работ помощника воспитателя </w:t>
      </w:r>
    </w:p>
    <w:p>
      <w:pPr>
        <w:spacing w:line="240" w:lineRule="auto"/>
        <w:rPr>
          <w:rFonts w:hAnsi="Times New Roman" w:cs="Times New Roman"/>
          <w:color w:val="000000"/>
          <w:sz w:val="24"/>
          <w:szCs w:val="24"/>
        </w:rPr>
      </w:pPr>
      <w:r>
        <w:rPr>
          <w:rFonts w:hAnsi="Times New Roman" w:cs="Times New Roman"/>
          <w:b/>
          <w:bCs/>
          <w:color w:val="000000"/>
          <w:sz w:val="24"/>
          <w:szCs w:val="24"/>
        </w:rPr>
        <w:t>Трудовые функции помощника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помощника воспитателя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помощника воспитателя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помощника воспитателя детского дома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Нарушения требований безопасности, при которых помощник воспитателя детского дома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Запрет помощнику воспитателя детского дома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рациональной организации рабочего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Уборка всех лишних предметов, не используемых в работе.</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загромождать проходы, проезды, рабочие места, подходы к щитам с противопожарным инвентарем, пожарным кранам и общему рубильнику в помещениях детского дома.</w:t>
      </w:r>
    </w:p>
    <w:p>
      <w:pPr>
        <w:spacing w:line="240" w:lineRule="auto"/>
        <w:rPr>
          <w:rFonts w:hAnsi="Times New Roman" w:cs="Times New Roman"/>
          <w:color w:val="000000"/>
          <w:sz w:val="24"/>
          <w:szCs w:val="24"/>
        </w:rPr>
      </w:pPr>
      <w:r>
        <w:rPr>
          <w:rFonts w:hAnsi="Times New Roman" w:cs="Times New Roman"/>
          <w:color w:val="000000"/>
          <w:sz w:val="24"/>
          <w:szCs w:val="24"/>
        </w:rPr>
        <w:t>Проверка состояния помещений: группы, комнаты для раздевания детей, туалета.</w:t>
      </w:r>
    </w:p>
    <w:p>
      <w:pPr>
        <w:spacing w:line="240" w:lineRule="auto"/>
        <w:rPr>
          <w:rFonts w:hAnsi="Times New Roman" w:cs="Times New Roman"/>
          <w:color w:val="000000"/>
          <w:sz w:val="24"/>
          <w:szCs w:val="24"/>
        </w:rPr>
      </w:pPr>
      <w:r>
        <w:rPr>
          <w:rFonts w:hAnsi="Times New Roman" w:cs="Times New Roman"/>
          <w:color w:val="000000"/>
          <w:sz w:val="24"/>
          <w:szCs w:val="24"/>
        </w:rPr>
        <w:t>Осмотр оборудования перед началом работы и проверка его полной исправности, визуальная проверка исправности электрического шнура, вилки и розетки, с помощью которых осуществляется питание этого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Проверка достаточности и равномерности освещения рабочего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помощнику воспитателя детского дома пользоваться инструментом, оборудованием и приспособлениями, безопасному обращению с которыми он не обучен. Меры предосторожности при проверке состояния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обнаружении каких-либо неисправностей: фрамуг, дверей, светильников, розеток, выключателей, мебели и т.д., немедленно сообщить об этом заместителю заведующей по АХР или заведующей детского дома для принятия мер по устранению обнаруженных недостатков.</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бытовыми электронагревательными и другими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по электробезопасности при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Инструктаж и присвоение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Действие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Виды электротравм (местные электротравмы, электрический удар).</w:t>
      </w:r>
    </w:p>
    <w:p>
      <w:pPr>
        <w:spacing w:line="240" w:lineRule="auto"/>
        <w:rPr>
          <w:rFonts w:hAnsi="Times New Roman" w:cs="Times New Roman"/>
          <w:color w:val="000000"/>
          <w:sz w:val="24"/>
          <w:szCs w:val="24"/>
        </w:rPr>
      </w:pPr>
      <w:r>
        <w:rPr>
          <w:rFonts w:hAnsi="Times New Roman" w:cs="Times New Roman"/>
          <w:color w:val="000000"/>
          <w:sz w:val="24"/>
          <w:szCs w:val="24"/>
        </w:rPr>
        <w:t>Факторы, влияющие на исход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Знание приемов оказания первой помощи пострадавшим от электрического тока и других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помощника воспитателя детского дома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помощнику воспитателя детского дома,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Целевой инструктаж помощника воспитателя детского дома,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способствующая уменьшению утомляемости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Следить за выполнением температурного и водного режима. Одеваться на прогулку в соответствии с метеоусловиями.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передвижении по территории детского дома,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во время нахождения на проезжей части, либо возле нее. Безопасность труда во время передвижения по городу при проведении культурно-воспитательных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нахождении в местных командировках.</w:t>
      </w:r>
    </w:p>
    <w:p>
      <w:pPr>
        <w:spacing w:line="240" w:lineRule="auto"/>
        <w:rPr>
          <w:rFonts w:hAnsi="Times New Roman" w:cs="Times New Roman"/>
          <w:color w:val="000000"/>
          <w:sz w:val="24"/>
          <w:szCs w:val="24"/>
        </w:rPr>
      </w:pPr>
      <w:r>
        <w:rPr>
          <w:rFonts w:hAnsi="Times New Roman" w:cs="Times New Roman"/>
          <w:color w:val="000000"/>
          <w:sz w:val="24"/>
          <w:szCs w:val="24"/>
        </w:rPr>
        <w:t>Меры, предупреждающие несчастные случаи при пользовании общественным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безопасность труда при движении возле открытых люков, дверей, ворот, колодцев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воспитателю:</w:t>
      </w:r>
    </w:p>
    <w:p>
      <w:pPr>
        <w:spacing w:line="240" w:lineRule="auto"/>
        <w:rPr>
          <w:rFonts w:hAnsi="Times New Roman" w:cs="Times New Roman"/>
          <w:color w:val="000000"/>
          <w:sz w:val="24"/>
          <w:szCs w:val="24"/>
        </w:rPr>
      </w:pPr>
      <w:r>
        <w:rPr>
          <w:rFonts w:hAnsi="Times New Roman" w:cs="Times New Roman"/>
          <w:color w:val="000000"/>
          <w:sz w:val="24"/>
          <w:szCs w:val="24"/>
        </w:rPr>
        <w:t>- отлучаться с рабочего места без разрешения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детей без присмотра;</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детским туалетом;</w:t>
      </w:r>
    </w:p>
    <w:p>
      <w:pPr>
        <w:spacing w:line="240" w:lineRule="auto"/>
        <w:rPr>
          <w:rFonts w:hAnsi="Times New Roman" w:cs="Times New Roman"/>
          <w:color w:val="000000"/>
          <w:sz w:val="24"/>
          <w:szCs w:val="24"/>
        </w:rPr>
      </w:pPr>
      <w:r>
        <w:rPr>
          <w:rFonts w:hAnsi="Times New Roman" w:cs="Times New Roman"/>
          <w:color w:val="000000"/>
          <w:sz w:val="24"/>
          <w:szCs w:val="24"/>
        </w:rPr>
        <w:t>- ставить какие-либо предметы на шкафы;</w:t>
      </w:r>
    </w:p>
    <w:p>
      <w:pPr>
        <w:spacing w:line="240" w:lineRule="auto"/>
        <w:rPr>
          <w:rFonts w:hAnsi="Times New Roman" w:cs="Times New Roman"/>
          <w:color w:val="000000"/>
          <w:sz w:val="24"/>
          <w:szCs w:val="24"/>
        </w:rPr>
      </w:pPr>
      <w:r>
        <w:rPr>
          <w:rFonts w:hAnsi="Times New Roman" w:cs="Times New Roman"/>
          <w:color w:val="000000"/>
          <w:sz w:val="24"/>
          <w:szCs w:val="24"/>
        </w:rPr>
        <w:t>- эксплуатировать неустойчиво закрепленные шкафы, другую мебель;</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самостоятельное вскрытие и ремонт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Ремонт должен проводить специалист;</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а также оборудованием и инструментами,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оборудованием посторонним неподготовленным лицам, в т.ч. детям;</w:t>
      </w:r>
    </w:p>
    <w:p>
      <w:pPr>
        <w:spacing w:line="240" w:lineRule="auto"/>
        <w:rPr>
          <w:rFonts w:hAnsi="Times New Roman" w:cs="Times New Roman"/>
          <w:color w:val="000000"/>
          <w:sz w:val="24"/>
          <w:szCs w:val="24"/>
        </w:rPr>
      </w:pPr>
      <w:r>
        <w:rPr>
          <w:rFonts w:hAnsi="Times New Roman" w:cs="Times New Roman"/>
          <w:color w:val="000000"/>
          <w:sz w:val="24"/>
          <w:szCs w:val="24"/>
        </w:rPr>
        <w:t>- употреблять алкогольные и слабоалкогольные напитки, наркотические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 хранить и принимать пищу и напитки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Действия помощника воспитателя детского дома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отключении оборудования, уборке рабочего помещения.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пользовании бытовыми электронагревательными и другими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передвижении по территории детского дома,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нахождении в местных командировках.</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движении возле открытых люков, дверей, ворот, колодцев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отключении оборудования, уборке рабочего помещения.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РФ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 xml:space="preserve"> .</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главного государственного санитарного врача России от 02.12.2020 № 40</w:t>
      </w:r>
      <w:r>
        <w:rPr>
          <w:rFonts w:hAnsi="Times New Roman" w:cs="Times New Roman"/>
          <w:color w:val="000000"/>
          <w:sz w:val="24"/>
          <w:szCs w:val="24"/>
        </w:rPr>
        <w:t xml:space="preserve"> «Об утверждении санитарных правил СП 2.2.3670-20 «Санитарно-эпидемиологические требования к условиям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02.07.2021 № 311-ФЗ</w:t>
      </w:r>
      <w:r>
        <w:rPr>
          <w:rFonts w:hAnsi="Times New Roman" w:cs="Times New Roman"/>
          <w:color w:val="000000"/>
          <w:sz w:val="24"/>
          <w:szCs w:val="24"/>
        </w:rPr>
        <w:t xml:space="preserve"> «О внесении изменений в Трудовой кодекс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17.06.2021 № 406н</w:t>
      </w:r>
      <w:r>
        <w:rPr>
          <w:rFonts w:hAnsi="Times New Roman" w:cs="Times New Roman"/>
          <w:color w:val="000000"/>
          <w:sz w:val="24"/>
          <w:szCs w:val="24"/>
        </w:rPr>
        <w:t xml:space="preserve">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774н</w:t>
      </w:r>
      <w:r>
        <w:rPr>
          <w:rFonts w:hAnsi="Times New Roman" w:cs="Times New Roman"/>
          <w:color w:val="000000"/>
          <w:sz w:val="24"/>
          <w:szCs w:val="24"/>
        </w:rPr>
        <w:t xml:space="preserve"> «Об утверждении общих требований к организации безопасного рабочего места, Приказ Минтруда России от 29.10.2021».</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14.09.2021 № 629н</w:t>
      </w:r>
      <w:r>
        <w:rPr>
          <w:rFonts w:hAnsi="Times New Roman" w:cs="Times New Roman"/>
          <w:color w:val="000000"/>
          <w:sz w:val="24"/>
          <w:szCs w:val="24"/>
        </w:rPr>
        <w:t xml:space="preserve"> «Об утверждении предельно допустимых норм нагрузок для женщин при подъеме и перемещении тяжестей вручную».</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22.09.2021 № 650н</w:t>
      </w:r>
      <w:r>
        <w:rPr>
          <w:rFonts w:hAnsi="Times New Roman" w:cs="Times New Roman"/>
          <w:color w:val="000000"/>
          <w:sz w:val="24"/>
          <w:szCs w:val="24"/>
        </w:rPr>
        <w:t xml:space="preserve"> «Об утверждении примерного положения о комитете (комиссии) по охране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771н</w:t>
      </w:r>
      <w:r>
        <w:rPr>
          <w:rFonts w:hAnsi="Times New Roman" w:cs="Times New Roman"/>
          <w:color w:val="000000"/>
          <w:sz w:val="24"/>
          <w:szCs w:val="24"/>
        </w:rPr>
        <w:t xml:space="preserve">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22.09.2021 № 656н</w:t>
      </w:r>
      <w:r>
        <w:rPr>
          <w:rFonts w:hAnsi="Times New Roman" w:cs="Times New Roman"/>
          <w:color w:val="000000"/>
          <w:sz w:val="24"/>
          <w:szCs w:val="24"/>
        </w:rPr>
        <w:t xml:space="preserve">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773н</w:t>
      </w:r>
      <w:r>
        <w:rPr>
          <w:rFonts w:hAnsi="Times New Roman" w:cs="Times New Roman"/>
          <w:color w:val="000000"/>
          <w:sz w:val="24"/>
          <w:szCs w:val="24"/>
        </w:rPr>
        <w:t xml:space="preserve">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775н</w:t>
      </w:r>
      <w:r>
        <w:rPr>
          <w:rFonts w:hAnsi="Times New Roman" w:cs="Times New Roman"/>
          <w:color w:val="000000"/>
          <w:sz w:val="24"/>
          <w:szCs w:val="24"/>
        </w:rPr>
        <w:t xml:space="preserve"> «Об утверждении Порядка проведения государственной экспертизы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28.10.2021 № 765н</w:t>
      </w:r>
      <w:r>
        <w:rPr>
          <w:rFonts w:hAnsi="Times New Roman" w:cs="Times New Roman"/>
          <w:color w:val="000000"/>
          <w:sz w:val="24"/>
          <w:szCs w:val="24"/>
        </w:rPr>
        <w:t xml:space="preserve"> «Об утверждении типовых форм документов, необходимых для проведения государственной экспертизы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Экзаменационные билеты для проверки знаний по охране труда помощника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шума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4. 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оказать неблагоприятное воздействие на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присвоения соответствующей группы по электробезопасности воспитателю.</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предупреждающие несчастные случаи при пользовании общественным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в случае пожара.</w:t>
      </w:r>
    </w:p>
    <w:p>
      <w:pPr>
        <w:spacing w:line="240" w:lineRule="auto"/>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работы по охране труда на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2. Нарушения требований безопасности, при которых помощник воспитателя детского дома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3. Мероприятия по оценке обстановки и обеспечению безопасных условий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искусственному освещению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поведению помощника воспитателя детского дома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"Охрана труда".</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безопасности при выполнении помощником воспитателя детского дома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Нормирование микроклимата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нахождении в местных командировках.</w:t>
      </w:r>
    </w:p>
    <w:p>
      <w:pPr>
        <w:spacing w:line="240" w:lineRule="auto"/>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предъявляемые к режимам труда и отдыха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во время передвижения по городу при проведении культурно-воспитательных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воспитатель должен пройти целевой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Меры, обеспечивающие безопасность труда при движении возле открытых люков, дверей, ворот, колодцев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в Трудовом кодексе РФ.</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воспитателя в случае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искусственного освещения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прохождения повторного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порошковым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за нарушение требований охраны труда и законодательства о труде.</w:t>
      </w:r>
    </w:p>
    <w:p>
      <w:pPr>
        <w:spacing w:line="240" w:lineRule="auto"/>
        <w:rPr>
          <w:rFonts w:hAnsi="Times New Roman" w:cs="Times New Roman"/>
          <w:color w:val="000000"/>
          <w:sz w:val="24"/>
          <w:szCs w:val="24"/>
        </w:rPr>
      </w:pPr>
      <w:r>
        <w:rPr>
          <w:rFonts w:hAnsi="Times New Roman" w:cs="Times New Roman"/>
          <w:color w:val="000000"/>
          <w:sz w:val="24"/>
          <w:szCs w:val="24"/>
        </w:rPr>
        <w:t>2. Правила освобождения пострадавшего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3. Рациональная рабочая поза, способствующая уменьшению утомляемости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4. Ограничение прямой и отраженной блесткости от источников света.</w:t>
      </w:r>
    </w:p>
    <w:p>
      <w:pPr>
        <w:spacing w:line="240" w:lineRule="auto"/>
        <w:rPr>
          <w:rFonts w:hAnsi="Times New Roman" w:cs="Times New Roman"/>
          <w:color w:val="000000"/>
          <w:sz w:val="24"/>
          <w:szCs w:val="24"/>
        </w:rPr>
      </w:pPr>
      <w:r>
        <w:rPr>
          <w:rFonts w:hAnsi="Times New Roman" w:cs="Times New Roman"/>
          <w:color w:val="000000"/>
          <w:sz w:val="24"/>
          <w:szCs w:val="24"/>
        </w:rPr>
        <w:t>5. Объем знаний воспитателя, допущенного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закрепленные в Конституции РФ.</w:t>
      </w:r>
    </w:p>
    <w:p>
      <w:pPr>
        <w:spacing w:line="240" w:lineRule="auto"/>
        <w:rPr>
          <w:rFonts w:hAnsi="Times New Roman" w:cs="Times New Roman"/>
          <w:color w:val="000000"/>
          <w:sz w:val="24"/>
          <w:szCs w:val="24"/>
        </w:rPr>
      </w:pPr>
      <w:r>
        <w:rPr>
          <w:rFonts w:hAnsi="Times New Roman" w:cs="Times New Roman"/>
          <w:color w:val="000000"/>
          <w:sz w:val="24"/>
          <w:szCs w:val="24"/>
        </w:rPr>
        <w:t>2. Мероприятия по восстановлению проходимости дыхательных путей и определению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воспитателя при обнаружении каких-либо неисправностей: фрамуг, дверей, светильников, розеток, выключателей, мебели и т.д..</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Какие действия запрещены воспитателю.</w:t>
      </w:r>
    </w:p>
    <w:p>
      <w:pPr>
        <w:spacing w:line="240" w:lineRule="auto"/>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рациональной организации рабочего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пользовании бытовыми электронагревательными и другими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во время нахождения на проезжей части, либо возле нее.</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допустимых уровней шума на рабочем месте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эргономические показатели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по электробезопасности при эксплуатации оборудования. Инструктаж и присвоение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передвижении по территории детского дома,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воспитатель должен пройти целевой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Санитарные нормы микроклимата на рабочем месте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помощника воспитателя детского дома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во время нахождения на проезжей части, либо возле нее.</w:t>
      </w:r>
    </w:p>
    <w:p>
      <w:pPr>
        <w:spacing w:line="240" w:lineRule="auto"/>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получения соответствующей группы по электробезопасности воспитателем.</w:t>
      </w:r>
    </w:p>
    <w:p>
      <w:pPr>
        <w:spacing w:line="240" w:lineRule="auto"/>
        <w:rPr>
          <w:rFonts w:hAnsi="Times New Roman" w:cs="Times New Roman"/>
          <w:color w:val="000000"/>
          <w:sz w:val="24"/>
          <w:szCs w:val="24"/>
        </w:rPr>
      </w:pPr>
      <w:r>
        <w:rPr>
          <w:rFonts w:hAnsi="Times New Roman" w:cs="Times New Roman"/>
          <w:color w:val="000000"/>
          <w:sz w:val="24"/>
          <w:szCs w:val="24"/>
        </w:rPr>
        <w:t>3. В каких случаях проводится внеплановый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 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воспитателя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при обнаружении каких-либо неисправностей: фрамуг, дверей, светильников, розеток, выключателей, мебели и т.д.</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f832a3fb32f4f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