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02" w:rsidRDefault="00DE35CE">
      <w:pPr>
        <w:pStyle w:val="printredaction-line"/>
      </w:pPr>
      <w:r>
        <w:t>Редакция от 1 мая 2019</w:t>
      </w:r>
    </w:p>
    <w:p w:rsidR="006B43FC" w:rsidRPr="009B6248" w:rsidRDefault="00DE35CE" w:rsidP="006B43FC">
      <w:pPr>
        <w:pStyle w:val="2"/>
        <w:spacing w:before="0" w:beforeAutospacing="0" w:after="0" w:afterAutospacing="0"/>
        <w:rPr>
          <w:b w:val="0"/>
          <w:bCs w:val="0"/>
        </w:rPr>
      </w:pPr>
      <w:r w:rsidRPr="009B6248">
        <w:rPr>
          <w:rFonts w:eastAsia="Times New Roman"/>
          <w:sz w:val="24"/>
          <w:szCs w:val="24"/>
        </w:rPr>
        <w:t>Как провести</w:t>
      </w:r>
      <w:bookmarkStart w:id="0" w:name="_GoBack"/>
      <w:bookmarkEnd w:id="0"/>
    </w:p>
    <w:p w:rsidR="00BC2C02" w:rsidRDefault="00DE35CE" w:rsidP="009B6248">
      <w:pPr>
        <w:pStyle w:val="doc-leadtext"/>
        <w:spacing w:before="0" w:beforeAutospacing="0" w:after="0" w:afterAutospacing="0"/>
        <w:divId w:val="71707420"/>
      </w:pPr>
      <w:r w:rsidRPr="009B6248">
        <w:t xml:space="preserve">ГИТ при каждой внеплановой проверке смотрит, как проведена оценка рисков. А если не выявить опасность, которая стала причиной НС, оценку признают ненадлежащей. Чтобы избежать претензий, используйте алгоритм оценки рисков от Системы. </w:t>
      </w:r>
    </w:p>
    <w:p w:rsidR="009B6248" w:rsidRDefault="009B6248" w:rsidP="009B6248">
      <w:pPr>
        <w:pStyle w:val="doc-leadtext"/>
        <w:spacing w:before="0" w:beforeAutospacing="0" w:after="0" w:afterAutospacing="0"/>
        <w:divId w:val="71707420"/>
      </w:pPr>
      <w:r>
        <w:t xml:space="preserve">В рекомендации – зачем проводить оценку рисков, как выявить, идентифицировать и оценить риски и провести их корректировку – пошаговый алгоритм, какие документы по оценке рисков должны быть в организации, как провести корректировку рисков после их оценки и какую ответственность несет работодатель за </w:t>
      </w:r>
      <w:proofErr w:type="spellStart"/>
      <w:r>
        <w:t>непроведение</w:t>
      </w:r>
      <w:proofErr w:type="spellEnd"/>
      <w:r>
        <w:t xml:space="preserve"> оценки рисков.  </w:t>
      </w:r>
    </w:p>
    <w:p w:rsidR="00BC2C02" w:rsidRPr="009B6248" w:rsidRDefault="00DE35CE" w:rsidP="009B6248">
      <w:pPr>
        <w:pStyle w:val="2"/>
        <w:spacing w:before="0" w:beforeAutospacing="0" w:after="0" w:afterAutospacing="0"/>
        <w:divId w:val="593440573"/>
        <w:rPr>
          <w:sz w:val="24"/>
          <w:szCs w:val="24"/>
        </w:rPr>
      </w:pPr>
      <w:r w:rsidRPr="009B6248">
        <w:rPr>
          <w:rFonts w:eastAsia="Times New Roman"/>
          <w:sz w:val="24"/>
          <w:szCs w:val="24"/>
        </w:rPr>
        <w:t>Зачем проводить оценку профессиональных рисков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Работодатель должен провести оценку профессиональных рисков, чтобы организовать управление </w:t>
      </w:r>
      <w:proofErr w:type="spellStart"/>
      <w:r w:rsidRPr="009B6248">
        <w:t>профрисками</w:t>
      </w:r>
      <w:proofErr w:type="spellEnd"/>
      <w:r w:rsidRPr="009B6248">
        <w:t xml:space="preserve">. Это требование статей </w:t>
      </w:r>
      <w:r w:rsidR="009B6248" w:rsidRPr="009B6248">
        <w:t>209</w:t>
      </w:r>
      <w:r w:rsidRPr="009B6248">
        <w:t xml:space="preserve"> и </w:t>
      </w:r>
      <w:r w:rsidR="009B6248" w:rsidRPr="009B6248">
        <w:t>212</w:t>
      </w:r>
      <w:r w:rsidRPr="009B6248">
        <w:t xml:space="preserve"> ТК и пунктов </w:t>
      </w:r>
      <w:r w:rsidR="009B6248" w:rsidRPr="009B6248">
        <w:t>29, 33–39 типового положения о СУОТ</w:t>
      </w:r>
      <w:r w:rsidRPr="009B6248">
        <w:t>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Оценка рисков помогает снизить риск возникновения </w:t>
      </w:r>
      <w:r w:rsidR="009B6248" w:rsidRPr="009B6248">
        <w:t>несчастных случаев и профзаболеваний</w:t>
      </w:r>
      <w:r w:rsidRPr="009B6248">
        <w:t xml:space="preserve"> 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Кроме того, оценка рисков помогает повысить мотивацию работников соблюдать требования охраны труда, социальную защищенность работников и квалификацию персонала, а также обеспечить </w:t>
      </w:r>
      <w:r w:rsidR="009B6248" w:rsidRPr="009B6248">
        <w:t>экологическую безопасность производства.</w:t>
      </w:r>
    </w:p>
    <w:p w:rsidR="00BC2C02" w:rsidRPr="009B6248" w:rsidRDefault="00DE35CE" w:rsidP="009B6248">
      <w:pPr>
        <w:divId w:val="1434781279"/>
        <w:rPr>
          <w:rFonts w:eastAsia="Times New Roman"/>
        </w:rPr>
      </w:pPr>
      <w:r w:rsidRPr="009B624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Ситуация: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>может ли организация самостоятельно провести оценку профессиональных рисков или необходимо нанимать специализированную организацию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975477067"/>
      </w:pPr>
      <w:r w:rsidRPr="009B6248">
        <w:t xml:space="preserve">Да, может.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975477067"/>
      </w:pPr>
      <w:r w:rsidRPr="009B6248">
        <w:t>В настоящее время нет обязательных требований к порядку оценки уровня профессионального риска. Поэтому организация имеет право провести оценку и управление рисками как самостоятельно, так и заключить договор на оценку рисков со сторонней организацией.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975477067"/>
      </w:pPr>
      <w:r w:rsidRPr="009B6248">
        <w:t xml:space="preserve">Если приняли решение провести оценку рисков собственными силами, то установите и закрепите в локальных актах организации порядок оценки уровня профессионального риска. Как организовать процедуру управления рисками в организации, указано в </w:t>
      </w:r>
      <w:r w:rsidR="009B6248" w:rsidRPr="009B6248">
        <w:t>пункте 33</w:t>
      </w:r>
      <w:r w:rsidRPr="009B6248">
        <w:t xml:space="preserve"> типового положения о системе управления охраной труда, которое утверждено </w:t>
      </w:r>
      <w:r w:rsidR="009B6248" w:rsidRPr="009B6248">
        <w:t>приказом Минтруда от 19.08.2016 № 438н.</w:t>
      </w:r>
      <w:r w:rsidRPr="009B6248">
        <w:t xml:space="preserve"> </w:t>
      </w:r>
    </w:p>
    <w:p w:rsidR="00BC2C02" w:rsidRPr="009B6248" w:rsidRDefault="00DE35CE" w:rsidP="009B6248">
      <w:pPr>
        <w:pStyle w:val="2"/>
        <w:spacing w:before="0" w:beforeAutospacing="0" w:after="0" w:afterAutospacing="0"/>
        <w:divId w:val="593440573"/>
        <w:rPr>
          <w:sz w:val="24"/>
          <w:szCs w:val="24"/>
        </w:rPr>
      </w:pPr>
      <w:r w:rsidRPr="009B6248">
        <w:rPr>
          <w:rFonts w:eastAsia="Times New Roman"/>
          <w:sz w:val="24"/>
          <w:szCs w:val="24"/>
        </w:rPr>
        <w:t>Какие должны быть документы по оценке рисков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Пропишите регламент процедуры оценки рисков в </w:t>
      </w:r>
      <w:r w:rsidR="009B6248" w:rsidRPr="009B6248">
        <w:t>положении организации о СУОТ.</w:t>
      </w:r>
      <w:r w:rsidRPr="009B6248">
        <w:t xml:space="preserve"> Это указано в типовом положении о системе управления охраной труда (утв. </w:t>
      </w:r>
      <w:r w:rsidR="009B6248" w:rsidRPr="009B6248">
        <w:t>приказом Минтруда от 19.08.2016 № 438н)</w:t>
      </w:r>
      <w:r w:rsidRPr="009B6248">
        <w:t>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Других требований к тому, какие документы по оценке рисков должны быть на предприятии, в законодательстве нет. Но при </w:t>
      </w:r>
      <w:r w:rsidR="009B6248" w:rsidRPr="009B6248">
        <w:t>внеплановой проверке</w:t>
      </w:r>
      <w:r w:rsidRPr="009B6248">
        <w:t xml:space="preserve"> инспектор ГИТ может проверить наличие и соответствие процедур идентификации опасностей и оценки рисков, план мероприятий и оценку возможностей устранения рисков, меры по исключению и снижению </w:t>
      </w:r>
      <w:proofErr w:type="gramStart"/>
      <w:r w:rsidRPr="009B6248">
        <w:t>риска</w:t>
      </w:r>
      <w:proofErr w:type="gramEnd"/>
      <w:r w:rsidRPr="009B6248">
        <w:t xml:space="preserve"> и ознакомлены ли работники предприятия с </w:t>
      </w:r>
      <w:proofErr w:type="spellStart"/>
      <w:r w:rsidRPr="009B6248">
        <w:t>профрисками</w:t>
      </w:r>
      <w:proofErr w:type="spellEnd"/>
      <w:r w:rsidRPr="009B6248">
        <w:t>.</w:t>
      </w:r>
      <w:r w:rsidRPr="009B6248">
        <w:rPr>
          <w:rStyle w:val="btn"/>
          <w:vanish/>
        </w:rPr>
        <w:t>1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Поэтому, чтобы избежать штрафов и судебных споров, целесообразно разработать </w:t>
      </w:r>
      <w:r w:rsidR="009B6248" w:rsidRPr="009B6248">
        <w:t>реестр опасностей на рабочем месте</w:t>
      </w:r>
      <w:r w:rsidRPr="009B6248">
        <w:t xml:space="preserve"> или карту оценки рисков. В этот документ внесите информацию о возможных рисках на рабочем месте, вероятность их возникновения и меры, принятые для уменьшения опасностей.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Составьте </w:t>
      </w:r>
      <w:r w:rsidR="009B6248" w:rsidRPr="009B6248">
        <w:t>план мероприятий по корректировке рисков</w:t>
      </w:r>
      <w:r w:rsidRPr="009B6248">
        <w:t>, в нем укажите меры, которые должны быть приняты для устранения или уменьшения рисков, укажите ответственного за каждый конкретный пункт плана, сроки его выполнения, при необходимости – источники финансирования.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Кроме того, результаты проведения оценки рисков и всех его промежуточных и итоговых процедур укажите в </w:t>
      </w:r>
      <w:r w:rsidR="009B6248" w:rsidRPr="009B6248">
        <w:t xml:space="preserve">отчете о </w:t>
      </w:r>
      <w:proofErr w:type="spellStart"/>
      <w:r w:rsidR="009B6248" w:rsidRPr="009B6248">
        <w:t>профрисках</w:t>
      </w:r>
      <w:proofErr w:type="spellEnd"/>
      <w:r w:rsidRPr="009B6248">
        <w:t>.</w:t>
      </w:r>
    </w:p>
    <w:p w:rsidR="00BC2C02" w:rsidRPr="009B6248" w:rsidRDefault="00DE35CE" w:rsidP="009B6248">
      <w:pPr>
        <w:pStyle w:val="2"/>
        <w:spacing w:before="0" w:beforeAutospacing="0" w:after="0" w:afterAutospacing="0"/>
        <w:divId w:val="593440573"/>
        <w:rPr>
          <w:sz w:val="24"/>
          <w:szCs w:val="24"/>
        </w:rPr>
      </w:pPr>
      <w:r w:rsidRPr="009B6248">
        <w:rPr>
          <w:rFonts w:eastAsia="Times New Roman"/>
          <w:sz w:val="24"/>
          <w:szCs w:val="24"/>
        </w:rPr>
        <w:t xml:space="preserve">Как выявить и идентифицировать риски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Процедура оценки рисков в законодательстве не прописана. Поэтому оценку рисков предприятия проводят самостоятельно.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Для выявления, идентификации и оценки рисков можно нанять компанию или провести процедуру своими силами. Если в организации приняли решение провести оценку рисков своими силами, то </w:t>
      </w:r>
      <w:r w:rsidRPr="009B6248">
        <w:lastRenderedPageBreak/>
        <w:t xml:space="preserve">можно разработать собственный алгоритм процедуры либо воспользоваться </w:t>
      </w:r>
      <w:r w:rsidR="009B6248" w:rsidRPr="009B6248">
        <w:t>алгоритмом из четырех шагов</w:t>
      </w:r>
      <w:r w:rsidRPr="009B6248">
        <w:t>, который разработали эксперты Системы Охрана Труда. Достоинство этого алгоритма – простота реализации на практике.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Шаг 1. Создайте комиссию по оценке рисков.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Оценку рисков может проводить </w:t>
      </w:r>
      <w:r w:rsidR="009B6248" w:rsidRPr="009B6248">
        <w:t>специалист по охране труда</w:t>
      </w:r>
      <w:r w:rsidRPr="009B6248">
        <w:t xml:space="preserve"> или </w:t>
      </w:r>
      <w:r w:rsidR="009B6248" w:rsidRPr="009B6248">
        <w:t>служба охраны труда</w:t>
      </w:r>
      <w:r w:rsidRPr="009B6248">
        <w:t xml:space="preserve">, но эффективнее создать комиссию из трех–семи человек. Состав комиссии определяют в 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ответственного за электробезопасность, начальников структурных подразделений, представителей профсоюза и т. д.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Члены комиссии не обязаны иметь специальную подготовку, но должны знать, как выявлять и идентифицировать риски. Обучить сотрудников проводить оценку рисков можно самостоятельно либо с привлечением сторонних организаций.</w:t>
      </w:r>
    </w:p>
    <w:p w:rsidR="00BC2C02" w:rsidRPr="009B6248" w:rsidRDefault="00DE35CE" w:rsidP="009B6248">
      <w:pPr>
        <w:divId w:val="948320481"/>
        <w:rPr>
          <w:rFonts w:eastAsia="Times New Roman"/>
        </w:rPr>
      </w:pPr>
      <w:r w:rsidRPr="009B624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>создание комиссии по оценке рисков и обучение ее членов непосредственно в организации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716196894"/>
      </w:pPr>
      <w:r w:rsidRPr="009B6248">
        <w:t xml:space="preserve">В торговой организации с численностью работников 50 человек </w:t>
      </w:r>
      <w:proofErr w:type="gramStart"/>
      <w:r w:rsidRPr="009B6248">
        <w:t>ответственным</w:t>
      </w:r>
      <w:proofErr w:type="gramEnd"/>
      <w:r w:rsidRPr="009B6248">
        <w:t xml:space="preserve"> за оценку рисков в компании назначили специалиста по охране труда. </w:t>
      </w:r>
      <w:proofErr w:type="gramStart"/>
      <w:r w:rsidRPr="009B6248">
        <w:t xml:space="preserve">Специалист разработал приказ о создании комиссии по оценке рисков, в состав которой добавил начальника склада, поскольку склад – это самое </w:t>
      </w:r>
      <w:proofErr w:type="spellStart"/>
      <w:r w:rsidRPr="009B6248">
        <w:t>травмоопасное</w:t>
      </w:r>
      <w:proofErr w:type="spellEnd"/>
      <w:r w:rsidRPr="009B6248">
        <w:t xml:space="preserve"> место в организации и за последние пять лет на его территории произошло три несчастных случая, а также ответственного за электробезопасность, так как один из несчастных случаев в организации произошел из-за удара работника электрическим током.</w:t>
      </w:r>
      <w:proofErr w:type="gramEnd"/>
      <w:r w:rsidRPr="009B6248">
        <w:t xml:space="preserve"> Сам специалист по охране труда стал председателем комиссии. Для обучения членов комиссии не привлекали сторонние организации, специалист по охране труда сам в устной форме разъяснил работникам процедуру проведения оценки рисков. </w:t>
      </w:r>
    </w:p>
    <w:p w:rsidR="00BC2C02" w:rsidRPr="009B6248" w:rsidRDefault="00DE35CE" w:rsidP="009B6248">
      <w:pPr>
        <w:divId w:val="619802225"/>
        <w:rPr>
          <w:rFonts w:eastAsia="Times New Roman"/>
        </w:rPr>
      </w:pPr>
      <w:r w:rsidRPr="009B624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Ситуация: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 xml:space="preserve">кого назначают </w:t>
      </w:r>
      <w:proofErr w:type="gramStart"/>
      <w:r w:rsidRPr="009B6248">
        <w:rPr>
          <w:rStyle w:val="incut-head-sub"/>
          <w:rFonts w:eastAsia="Times New Roman"/>
        </w:rPr>
        <w:t>ответственным</w:t>
      </w:r>
      <w:proofErr w:type="gramEnd"/>
      <w:r w:rsidRPr="009B6248">
        <w:rPr>
          <w:rStyle w:val="incut-head-sub"/>
          <w:rFonts w:eastAsia="Times New Roman"/>
        </w:rPr>
        <w:t xml:space="preserve"> за оценку профессионального риска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206257801"/>
      </w:pPr>
      <w:r w:rsidRPr="009B6248">
        <w:t xml:space="preserve">Работодатель сам решает, кого назначить </w:t>
      </w:r>
      <w:proofErr w:type="gramStart"/>
      <w:r w:rsidRPr="009B6248">
        <w:t>ответственным</w:t>
      </w:r>
      <w:proofErr w:type="gramEnd"/>
      <w:r w:rsidRPr="009B6248">
        <w:t xml:space="preserve"> за оценку </w:t>
      </w:r>
      <w:proofErr w:type="spellStart"/>
      <w:r w:rsidRPr="009B6248">
        <w:t>профрисков</w:t>
      </w:r>
      <w:proofErr w:type="spellEnd"/>
      <w:r w:rsidRPr="009B6248">
        <w:t>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206257801"/>
      </w:pPr>
      <w:r w:rsidRPr="009B6248">
        <w:t>Процедура оценки рисков в законодательстве четко не прописана. Поэтому работодатель сам устанавливает порядок проведения анализа и оценки рисков, а также назначает ответственных за проведение (п. </w:t>
      </w:r>
      <w:r w:rsidR="009B6248" w:rsidRPr="009B6248">
        <w:t>36, 37</w:t>
      </w:r>
      <w:r w:rsidRPr="009B6248">
        <w:t> типового положения о СУОТ, утв. </w:t>
      </w:r>
      <w:r w:rsidR="009B6248" w:rsidRPr="009B6248">
        <w:t>приказом Минтруда № 438н</w:t>
      </w:r>
      <w:r w:rsidRPr="009B6248">
        <w:t>).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206257801"/>
      </w:pPr>
      <w:r w:rsidRPr="009B6248">
        <w:t>Обычно эту обязанность возлагают на главного инженера или руководителя службы охраны труда.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Шаг 2. Выявите и идентифицируйте риски.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Изучите, какие опасности могут возникнуть при выполнении сотрудниками типовых и нетиповых работ. А также опасности, которые возникают вне рабочего места или во время аварий и способны негативно повлиять на здоровье и безопасность работников.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Если рабочее место работника стационарное – проведите оценку рисков на его рабочем месте. Если работники в течение дня передвигаются по территории и находятся в различных помещениях организации, проведите оценку рисков по рабочим зонам.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Чтобы выявить опасности, установите все источники, ситуации, действия или их комбинации, которые могут стать причиной травмы или ухудшения состояния здоровья работников.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Документы и информация, которые нужно использовать, чтобы выявить опасности: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1. НПА, локальные документы по охране труда и безопасности работ, которые относятся к определенному рабочему процессу</w:t>
      </w:r>
      <w:r w:rsidRPr="009B6248">
        <w:t xml:space="preserve">. Например, если нет инструкции по охране труда для какого-либо вида работ, то это риск «опасность,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операций».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 xml:space="preserve">2. Результаты </w:t>
      </w:r>
      <w:r w:rsidR="009B6248" w:rsidRPr="009B6248">
        <w:t>специальной оценки условий труда</w:t>
      </w:r>
      <w:r w:rsidRPr="009B6248">
        <w:t xml:space="preserve"> – позволят определить вредные факторы, которые влияют на работника.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 xml:space="preserve">3. Техническая документация на оборудование и технологическая документация на процессы. </w:t>
      </w:r>
      <w:r w:rsidRPr="009B6248">
        <w:t xml:space="preserve">В ней обычно прописывают потенциальные риски при работе с оборудованием, кроме того, в документации прописано, как работает </w:t>
      </w:r>
      <w:proofErr w:type="gramStart"/>
      <w:r w:rsidRPr="009B6248">
        <w:t>оборудование</w:t>
      </w:r>
      <w:proofErr w:type="gramEnd"/>
      <w:r w:rsidRPr="009B6248">
        <w:t xml:space="preserve"> и проходят технологические процессы, – это позволяет самостоятельно определить дополнительные риски.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4.</w:t>
      </w:r>
      <w:r w:rsidRPr="009B6248">
        <w:t xml:space="preserve"> </w:t>
      </w:r>
      <w:r w:rsidRPr="009B6248">
        <w:rPr>
          <w:b/>
          <w:bCs/>
        </w:rPr>
        <w:t>Информация о веществах и инструментах, которые участвуют в технологическом процессе,</w:t>
      </w:r>
      <w:r w:rsidRPr="009B6248">
        <w:t xml:space="preserve"> – это позволит определить риски, которые возникают при работе сотрудников с инструментами и веществами.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lastRenderedPageBreak/>
        <w:t>5. Сведения о происшедших авариях, инцидентах</w:t>
      </w:r>
      <w:r w:rsidR="009B6248" w:rsidRPr="009B6248">
        <w:rPr>
          <w:b/>
          <w:bCs/>
        </w:rPr>
        <w:t>, несчастных случаях и профессиональных заболеваниях</w:t>
      </w:r>
      <w:r w:rsidRPr="009B6248">
        <w:rPr>
          <w:b/>
          <w:bCs/>
        </w:rPr>
        <w:t xml:space="preserve"> в организации и результаты их расследования.</w:t>
      </w:r>
      <w:r w:rsidRPr="009B6248">
        <w:t xml:space="preserve"> Помогут увидеть, при каких работах и производственных процессах в организации работники подвергаются наиболее сильным рискам.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6. Доступные сведения и статистические данные о несчастных случаях и производственном травматизме в похожих организациях.</w:t>
      </w:r>
      <w:r w:rsidRPr="009B6248">
        <w:t xml:space="preserve"> С их помощью можно узнать, во время каких работ сотрудники подвергаются потенциальным рискам, и уделить больше внимания безопасности выполнения этих работ. Данные можно узнать из докладов </w:t>
      </w:r>
      <w:proofErr w:type="spellStart"/>
      <w:r w:rsidRPr="009B6248">
        <w:t>Ростехнадзора</w:t>
      </w:r>
      <w:proofErr w:type="spellEnd"/>
      <w:r w:rsidRPr="009B6248">
        <w:t>, которые ведомство публикует на своем официальном сайте, кроме того, многие компании публикуют статистику несчастных случаев на своих интернет-сайтах.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7.</w:t>
      </w:r>
      <w:r w:rsidRPr="009B6248">
        <w:t xml:space="preserve"> </w:t>
      </w:r>
      <w:r w:rsidRPr="009B6248">
        <w:rPr>
          <w:b/>
          <w:bCs/>
        </w:rPr>
        <w:t>Жалобы работников, которые связаны с ненадлежащими условиями труда, и предложения по улучшению условий труда.</w:t>
      </w:r>
      <w:r w:rsidRPr="009B6248">
        <w:t xml:space="preserve"> Некоторые риски сложно выявить при проверках и аудитах, их могут заметить только работники, которые сталкиваются с ними во время выполнения работ.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 xml:space="preserve">8. </w:t>
      </w:r>
      <w:r w:rsidR="009B6248" w:rsidRPr="009B6248">
        <w:rPr>
          <w:b/>
        </w:rPr>
        <w:t>Предписания надзорных органов</w:t>
      </w:r>
      <w:r w:rsidRPr="009B6248">
        <w:rPr>
          <w:b/>
          <w:bCs/>
        </w:rPr>
        <w:t xml:space="preserve"> в области охраны труда и промышленной безопасности. </w:t>
      </w:r>
      <w:r w:rsidRPr="009B6248">
        <w:t xml:space="preserve">Позволят выявить, в каких сферах в организации были </w:t>
      </w:r>
      <w:proofErr w:type="gramStart"/>
      <w:r w:rsidRPr="009B6248">
        <w:t>нарушения</w:t>
      </w:r>
      <w:proofErr w:type="gramEnd"/>
      <w:r w:rsidRPr="009B6248">
        <w:t xml:space="preserve"> и </w:t>
      </w:r>
      <w:proofErr w:type="gramStart"/>
      <w:r w:rsidRPr="009B6248">
        <w:t>каким</w:t>
      </w:r>
      <w:proofErr w:type="gramEnd"/>
      <w:r w:rsidRPr="009B6248">
        <w:t xml:space="preserve"> рискам подвергались работники, и уделить этим сферам повышенное внимание.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При выявлении факторов риска рассмотрите только те опасности, которые могут привести к получению травм, ухудшению здоровья работников или </w:t>
      </w:r>
      <w:r w:rsidR="009B6248" w:rsidRPr="009B6248">
        <w:t>к смертельному исходу</w:t>
      </w:r>
      <w:r w:rsidRPr="009B6248">
        <w:t>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При идентификации рисков пользуйтесь списком опасностей из </w:t>
      </w:r>
      <w:r w:rsidR="009B6248" w:rsidRPr="009B6248">
        <w:t>пункта 35</w:t>
      </w:r>
      <w:r w:rsidRPr="009B6248">
        <w:t xml:space="preserve"> приказа Минтруда от 19.08.2016 № 438н. </w:t>
      </w:r>
    </w:p>
    <w:p w:rsidR="00BC2C02" w:rsidRPr="009B6248" w:rsidRDefault="00DE35CE" w:rsidP="009B6248">
      <w:pPr>
        <w:divId w:val="1414007351"/>
        <w:rPr>
          <w:rFonts w:eastAsia="Times New Roman"/>
        </w:rPr>
      </w:pPr>
      <w:r w:rsidRPr="009B6248">
        <w:rPr>
          <w:rStyle w:val="a8"/>
          <w:rFonts w:eastAsia="Times New Roman"/>
        </w:rPr>
        <w:t>Внимание: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>работодатель сам устанавливает порядок выявления и идентификации рисков.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По результатам идентификации составьте перечень опасностей. Составьте его самостоятельно либо воспользуйтесь электронным реестром опасностей.</w:t>
      </w:r>
    </w:p>
    <w:p w:rsidR="00BC2C02" w:rsidRPr="009B6248" w:rsidRDefault="00DE35CE" w:rsidP="009B6248">
      <w:pPr>
        <w:divId w:val="2106923776"/>
        <w:rPr>
          <w:rFonts w:eastAsia="Times New Roman"/>
        </w:rPr>
      </w:pPr>
      <w:r w:rsidRPr="009B624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>выявление и идентификация опасностей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757484042"/>
      </w:pPr>
      <w:r w:rsidRPr="009B6248">
        <w:t xml:space="preserve">Представители комиссии по оценке рисков проводили оценку рисков работников бухгалтерии. Сначала члены комиссии проверили, есть ли риски на пути работников от проходной до кабинета, при входе в кабинет они увидели высокий порог, значит, есть риск, что работники могут об него споткнуться и получить травму. Комиссия идентифицировала этот риск: «опасность падения из-за потери равновесия, в том числе при спотыкании или </w:t>
      </w:r>
      <w:proofErr w:type="spellStart"/>
      <w:r w:rsidRPr="009B6248">
        <w:t>подскальзывании</w:t>
      </w:r>
      <w:proofErr w:type="spellEnd"/>
      <w:r w:rsidRPr="009B6248">
        <w:t>, при передвижении по скользким поверхностям или мокрым полам», руководствуясь пунктом 35 приказа Минтруда от 19.08.2016 № 438н, и добавила в перечень опасностей.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757484042"/>
      </w:pPr>
      <w:r w:rsidRPr="009B6248">
        <w:t xml:space="preserve">Далее члены комиссии изучили, каким оборудованием и приборами бухгалтеры пользуются во время работы и перерывов. Поскольку работники бухгалтерии используют при работе ПК, принтер и сканер, которые подключены к электросети, а также пользуются во время обеда микроволновкой и электрочайником, их может ударить током, поэтому комиссия добавила в перечень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757484042"/>
      </w:pPr>
      <w:r w:rsidRPr="009B6248">
        <w:t xml:space="preserve">Кроме того, когда бухгалтеры пользуются чайником, они могут обжечься о чайник или ошпариться кипятком, комиссия идентифицировала эти риски как «опасность ожога при контакте незащищенных частей тела с поверхностью предметов, имеющих высокую температуру» и «опасность ожога от воздействия на незащищенные участки тела материалов, жидкостей или газов, имеющих высокую температуру».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757484042"/>
      </w:pPr>
      <w:r w:rsidRPr="009B6248">
        <w:t>При осмотре кабинета представители комиссии обнаружили, что отсутствуют аптечки, поскольку в пункте 35 приказа Минтруда от 19.08.2016 № 438н есть этот риск: «опасность,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9B6248">
        <w:t>дств св</w:t>
      </w:r>
      <w:proofErr w:type="gramEnd"/>
      <w:r w:rsidRPr="009B6248">
        <w:t xml:space="preserve">язи», его тоже добавили в перечень.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757484042"/>
      </w:pPr>
      <w:r w:rsidRPr="009B6248">
        <w:t xml:space="preserve">После того как комиссия провела осмотр рабочих мест бухгалтеров, члены комиссии проверили локальные документы по охране труда и обнаружили, что бухгалтеры не прошли </w:t>
      </w:r>
      <w:proofErr w:type="gramStart"/>
      <w:r w:rsidRPr="009B6248">
        <w:t>обучение по охране</w:t>
      </w:r>
      <w:proofErr w:type="gramEnd"/>
      <w:r w:rsidRPr="009B6248">
        <w:t xml:space="preserve"> труда, комиссия идентифицировала риск: «опасность, связанная с допуском работников, не прошедших подготовку по охране труда» и добавила в перечень.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757484042"/>
      </w:pPr>
      <w:proofErr w:type="gramStart"/>
      <w:r w:rsidRPr="009B6248">
        <w:t xml:space="preserve">Кроме того, в перечень добавили риски: «опасность от вдыхания дыма, паров вредных газов и пыли при пожаре», «опасность воспламенения», «опасность воздействия открытого пламени», «опасность воздействия повышенной температуры окружающей среды», «опасность </w:t>
      </w:r>
      <w:r w:rsidRPr="009B6248">
        <w:lastRenderedPageBreak/>
        <w:t>воздействия пониженной концентрации кислорода в воздухе», «опасность воздействия огнетушащих веществ», «опасность возникновения взрыва, происшедшего вследствие пожара», «опасность ожога при взрыве», «опасность воздействия ударной волны» и «опасность воздействия осколков частей разрушившихся</w:t>
      </w:r>
      <w:proofErr w:type="gramEnd"/>
      <w:r w:rsidRPr="009B6248">
        <w:t xml:space="preserve"> зданий, сооружений, строений», поскольку пожар может возникнуть в каждой организации.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757484042"/>
      </w:pPr>
      <w:r w:rsidRPr="009B6248">
        <w:t>Также в перечень добавили «опасность насилия от враждебно настроенных работников», потому что между работниками могут возникнуть конфликты, и «опасность насилия от третьих лиц», так как может произойти разбойное нападение или террористический акт.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 xml:space="preserve">Шаг 3. Оцените уровень </w:t>
      </w:r>
      <w:proofErr w:type="spellStart"/>
      <w:r w:rsidRPr="009B6248">
        <w:rPr>
          <w:b/>
          <w:bCs/>
        </w:rPr>
        <w:t>профрисков</w:t>
      </w:r>
      <w:proofErr w:type="spellEnd"/>
      <w:r w:rsidRPr="009B6248">
        <w:rPr>
          <w:b/>
          <w:bCs/>
        </w:rPr>
        <w:t>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Методы оценки уровня профессиональных рисков работодатель определяет с учетом характера своей деятельности и сложности выполняемых операций. Допускают использование разных методов оценки уровня профессиональных рисков для разных процессов и операций (п. </w:t>
      </w:r>
      <w:r w:rsidR="009B6248" w:rsidRPr="009B6248">
        <w:t xml:space="preserve">36, 37 </w:t>
      </w:r>
      <w:r w:rsidRPr="009B6248">
        <w:t xml:space="preserve">типового положения о СУОТ, утв. </w:t>
      </w:r>
      <w:r w:rsidR="009B6248" w:rsidRPr="009B6248">
        <w:t>приказом Минтруда № 438н</w:t>
      </w:r>
      <w:r w:rsidRPr="009B6248">
        <w:t>).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Выбрать подходящий для себя метод, можно, например, в </w:t>
      </w:r>
      <w:r w:rsidR="009B6248" w:rsidRPr="009B6248">
        <w:t>приложении В</w:t>
      </w:r>
      <w:r w:rsidRPr="009B6248">
        <w:t xml:space="preserve"> к ГОСТ </w:t>
      </w:r>
      <w:proofErr w:type="gramStart"/>
      <w:r w:rsidRPr="009B6248">
        <w:t>Р</w:t>
      </w:r>
      <w:proofErr w:type="gramEnd"/>
      <w:r w:rsidRPr="009B6248">
        <w:t xml:space="preserve"> ИСО/МЭК 31010–2011 или </w:t>
      </w:r>
      <w:r w:rsidR="009B6248" w:rsidRPr="009B6248">
        <w:t>ГОСТ 12.0.230.4-2018</w:t>
      </w:r>
      <w:r w:rsidRPr="009B6248">
        <w:t>.</w:t>
      </w:r>
    </w:p>
    <w:p w:rsidR="00BC2C02" w:rsidRPr="009B6248" w:rsidRDefault="00DE35CE" w:rsidP="009B6248">
      <w:pPr>
        <w:divId w:val="1686399461"/>
        <w:rPr>
          <w:rFonts w:eastAsia="Times New Roman"/>
        </w:rPr>
      </w:pPr>
      <w:r w:rsidRPr="009B6248">
        <w:rPr>
          <w:rStyle w:val="a8"/>
          <w:rFonts w:eastAsia="Times New Roman"/>
        </w:rPr>
        <w:t>Внимание: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>ГОСТ 12.0.230.4-2018 вступает в силу 1 июня 2019 года, но поскольку стандарт носит рекомендательный характер, использовать его при оценке рисков можно уже сейчас.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На практике для оценки уровня </w:t>
      </w:r>
      <w:proofErr w:type="spellStart"/>
      <w:r w:rsidRPr="009B6248">
        <w:t>профрисков</w:t>
      </w:r>
      <w:proofErr w:type="spellEnd"/>
      <w:r w:rsidRPr="009B6248">
        <w:t xml:space="preserve"> часто используют простой и эффективный метод </w:t>
      </w:r>
      <w:proofErr w:type="spellStart"/>
      <w:r w:rsidRPr="009B6248">
        <w:t>Файна</w:t>
      </w:r>
      <w:proofErr w:type="spellEnd"/>
      <w:r w:rsidRPr="009B6248">
        <w:t xml:space="preserve"> – </w:t>
      </w:r>
      <w:proofErr w:type="spellStart"/>
      <w:r w:rsidRPr="009B6248">
        <w:t>Кинни</w:t>
      </w:r>
      <w:proofErr w:type="spellEnd"/>
      <w:r w:rsidRPr="009B6248">
        <w:t>. По этому методу для каждой выявленной опасности рассчитайте индекс профессионального риска (далее – ИПР). Величину ИПР определяют, перемножив балльные значения трех показателей: вероятности, подверженности и последствий наступления событий из таблицы 1, по формуле: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ИПР = </w:t>
      </w:r>
      <w:proofErr w:type="spellStart"/>
      <w:r w:rsidRPr="009B6248">
        <w:t>Вр</w:t>
      </w:r>
      <w:proofErr w:type="spellEnd"/>
      <w:r w:rsidRPr="009B6248">
        <w:t xml:space="preserve"> × </w:t>
      </w:r>
      <w:proofErr w:type="spellStart"/>
      <w:r w:rsidRPr="009B6248">
        <w:t>Пд</w:t>
      </w:r>
      <w:proofErr w:type="spellEnd"/>
      <w:r w:rsidRPr="009B6248">
        <w:t xml:space="preserve"> × </w:t>
      </w:r>
      <w:proofErr w:type="spellStart"/>
      <w:r w:rsidRPr="009B6248">
        <w:t>Пс</w:t>
      </w:r>
      <w:proofErr w:type="spellEnd"/>
      <w:r w:rsidRPr="009B6248">
        <w:t>.</w:t>
      </w:r>
    </w:p>
    <w:p w:rsidR="00DD585B" w:rsidRDefault="00DD585B" w:rsidP="009B6248">
      <w:pPr>
        <w:pStyle w:val="a5"/>
        <w:spacing w:before="0" w:beforeAutospacing="0" w:after="0" w:afterAutospacing="0"/>
        <w:divId w:val="593440573"/>
        <w:rPr>
          <w:b/>
          <w:bCs/>
        </w:rPr>
      </w:pP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 xml:space="preserve">Таблица. Определение ИПР по методу </w:t>
      </w:r>
      <w:proofErr w:type="spellStart"/>
      <w:r w:rsidRPr="009B6248">
        <w:rPr>
          <w:b/>
          <w:bCs/>
        </w:rPr>
        <w:t>Файна</w:t>
      </w:r>
      <w:proofErr w:type="spellEnd"/>
      <w:r w:rsidRPr="009B6248">
        <w:rPr>
          <w:b/>
          <w:bCs/>
        </w:rPr>
        <w:t xml:space="preserve"> – </w:t>
      </w:r>
      <w:proofErr w:type="spellStart"/>
      <w:r w:rsidRPr="009B6248">
        <w:rPr>
          <w:b/>
          <w:bCs/>
        </w:rPr>
        <w:t>Кинни</w:t>
      </w:r>
      <w:proofErr w:type="spellEnd"/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03"/>
        <w:gridCol w:w="1036"/>
        <w:gridCol w:w="2669"/>
        <w:gridCol w:w="1036"/>
        <w:gridCol w:w="2886"/>
        <w:gridCol w:w="1036"/>
      </w:tblGrid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Вероятность (</w:t>
            </w:r>
            <w:proofErr w:type="spellStart"/>
            <w:r w:rsidRPr="009B6248">
              <w:rPr>
                <w:b/>
                <w:bCs/>
              </w:rPr>
              <w:t>Вр</w:t>
            </w:r>
            <w:proofErr w:type="spellEnd"/>
            <w:r w:rsidRPr="009B6248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Подверженность (</w:t>
            </w:r>
            <w:proofErr w:type="spellStart"/>
            <w:r w:rsidRPr="009B6248">
              <w:rPr>
                <w:b/>
                <w:bCs/>
              </w:rPr>
              <w:t>Пд</w:t>
            </w:r>
            <w:proofErr w:type="spellEnd"/>
            <w:r w:rsidRPr="009B6248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Последствия (</w:t>
            </w:r>
            <w:proofErr w:type="spellStart"/>
            <w:r w:rsidRPr="009B6248">
              <w:rPr>
                <w:b/>
                <w:bCs/>
              </w:rPr>
              <w:t>Пс</w:t>
            </w:r>
            <w:proofErr w:type="spellEnd"/>
            <w:r w:rsidRPr="009B6248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Баллы</w:t>
            </w:r>
          </w:p>
        </w:tc>
      </w:tr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Ожидаемо, это случится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Постоянно (чаще 1 раза в день или более 50% времени смены)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Катастрофы, много жертв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100</w:t>
            </w:r>
          </w:p>
        </w:tc>
      </w:tr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Очень 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Регулярно (ежедневно)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Разрушения, есть жертвы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40</w:t>
            </w:r>
          </w:p>
        </w:tc>
      </w:tr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Нехарактерно, но 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От случая к случаю (еженедельно – до 6 раз в неделю)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 xml:space="preserve">Очень </w:t>
            </w:r>
            <w:proofErr w:type="gramStart"/>
            <w:r w:rsidRPr="009B6248">
              <w:t>тяжелые</w:t>
            </w:r>
            <w:proofErr w:type="gramEnd"/>
            <w:r w:rsidRPr="009B6248">
              <w:t>, один смертельный случай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15</w:t>
            </w:r>
          </w:p>
        </w:tc>
      </w:tr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Невероятно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Иногда (ежемесячно – до 3 раз в 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Потеря трудоспособности, инвалидность, профзаболевания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7</w:t>
            </w:r>
          </w:p>
        </w:tc>
      </w:tr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Можно себе представить, но невероятно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Редко (ежегодно – до 11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Случаи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3</w:t>
            </w:r>
          </w:p>
        </w:tc>
      </w:tr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Почти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0,2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Очень редко (до 1 раза в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Легкая травма, достаточно оказания первой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1</w:t>
            </w:r>
          </w:p>
        </w:tc>
      </w:tr>
      <w:tr w:rsidR="00BC2C02" w:rsidRPr="009B6248">
        <w:trPr>
          <w:divId w:val="1034841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Фактически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0,1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BC2C02" w:rsidP="009B624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BC2C02" w:rsidP="009B624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BC2C02" w:rsidP="009B624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BC2C02" w:rsidP="009B6248"/>
        </w:tc>
      </w:tr>
    </w:tbl>
    <w:p w:rsidR="009B6248" w:rsidRDefault="009B6248" w:rsidP="009B6248">
      <w:pPr>
        <w:divId w:val="637225400"/>
        <w:rPr>
          <w:rStyle w:val="incut-head-control"/>
          <w:rFonts w:ascii="Times New Roman" w:eastAsia="Times New Roman" w:hAnsi="Times New Roman" w:cs="Times New Roman"/>
          <w:sz w:val="24"/>
          <w:szCs w:val="24"/>
        </w:rPr>
      </w:pPr>
    </w:p>
    <w:p w:rsidR="00BC2C02" w:rsidRPr="009B6248" w:rsidRDefault="00DE35CE" w:rsidP="009B6248">
      <w:pPr>
        <w:divId w:val="637225400"/>
        <w:rPr>
          <w:rFonts w:eastAsia="Times New Roman"/>
        </w:rPr>
      </w:pPr>
      <w:r w:rsidRPr="009B624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>Оценка рисков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 xml:space="preserve">Комиссия по оценке рисков выявила и идентифицировала риски на рабочих местах и составила перечень опасностей. </w:t>
      </w:r>
      <w:proofErr w:type="gramStart"/>
      <w:r w:rsidRPr="009B6248">
        <w:t xml:space="preserve">Далее представители комиссии стали рассчитывать индекс </w:t>
      </w:r>
      <w:r w:rsidRPr="009B6248">
        <w:lastRenderedPageBreak/>
        <w:t xml:space="preserve">профессионального риска по методу </w:t>
      </w:r>
      <w:proofErr w:type="spellStart"/>
      <w:r w:rsidRPr="009B6248">
        <w:t>Файна</w:t>
      </w:r>
      <w:proofErr w:type="spellEnd"/>
      <w:r w:rsidRPr="009B6248">
        <w:t xml:space="preserve"> – </w:t>
      </w:r>
      <w:proofErr w:type="spellStart"/>
      <w:r w:rsidRPr="009B6248">
        <w:t>Кинни</w:t>
      </w:r>
      <w:proofErr w:type="spellEnd"/>
      <w:r w:rsidRPr="009B6248">
        <w:t xml:space="preserve"> для «опасности падения из-за потери равновесия, в том числе при спотыкании или </w:t>
      </w:r>
      <w:proofErr w:type="spellStart"/>
      <w:r w:rsidRPr="009B6248">
        <w:t>подскальзывании</w:t>
      </w:r>
      <w:proofErr w:type="spellEnd"/>
      <w:r w:rsidRPr="009B6248">
        <w:t>, при передвижении по скользким поверхностям или мокрым полам», которая возникла из-за того, что при входе в кабинет бухгалтерии высокий порог, о который можно споткнуться и получить травму.</w:t>
      </w:r>
      <w:proofErr w:type="gramEnd"/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>Чтобы рассчитать риск, члены комиссии изучили статистику несчастных случаев в организации и опросили бухгалтеров, часто ли они спотыкаются о порог.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 xml:space="preserve">Изучив статистику, выявили, что несчастных случаев, которые произошли из-за того, что работники спотыкались о порог, в организации не было. Опрос показал, что бухгалтеры спотыкаются о порог примерно раз в месяц. Таким образом, риск споткнуться о порог не характерен для работников бухгалтерии, но возможен.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 xml:space="preserve">По таблице «Определение ИПР по методу </w:t>
      </w:r>
      <w:proofErr w:type="spellStart"/>
      <w:r w:rsidRPr="009B6248">
        <w:t>Файна</w:t>
      </w:r>
      <w:proofErr w:type="spellEnd"/>
      <w:r w:rsidRPr="009B6248">
        <w:t xml:space="preserve"> – </w:t>
      </w:r>
      <w:proofErr w:type="spellStart"/>
      <w:r w:rsidRPr="009B6248">
        <w:t>Кинни</w:t>
      </w:r>
      <w:proofErr w:type="spellEnd"/>
      <w:r w:rsidRPr="009B6248">
        <w:t>» для критериев риска поставили оценки:</w:t>
      </w:r>
    </w:p>
    <w:p w:rsidR="00BC2C02" w:rsidRPr="009B6248" w:rsidRDefault="00DE35CE" w:rsidP="009B6248">
      <w:pPr>
        <w:numPr>
          <w:ilvl w:val="0"/>
          <w:numId w:val="2"/>
        </w:numPr>
        <w:ind w:left="686"/>
        <w:divId w:val="1080830687"/>
        <w:rPr>
          <w:rFonts w:eastAsia="Times New Roman"/>
        </w:rPr>
      </w:pPr>
      <w:r w:rsidRPr="009B6248">
        <w:rPr>
          <w:rFonts w:eastAsia="Times New Roman"/>
        </w:rPr>
        <w:t xml:space="preserve">вероятность риска – 3 балла, нехарактерно, но возможно; </w:t>
      </w:r>
    </w:p>
    <w:p w:rsidR="00BC2C02" w:rsidRPr="009B6248" w:rsidRDefault="00DE35CE" w:rsidP="009B6248">
      <w:pPr>
        <w:numPr>
          <w:ilvl w:val="0"/>
          <w:numId w:val="2"/>
        </w:numPr>
        <w:ind w:left="686"/>
        <w:divId w:val="1080830687"/>
        <w:rPr>
          <w:rFonts w:eastAsia="Times New Roman"/>
        </w:rPr>
      </w:pPr>
      <w:r w:rsidRPr="009B6248">
        <w:rPr>
          <w:rFonts w:eastAsia="Times New Roman"/>
        </w:rPr>
        <w:t>подверженность – 10 баллов, поскольку бухгалтера входят и выходят из кабинета много раз в день;</w:t>
      </w:r>
    </w:p>
    <w:p w:rsidR="00BC2C02" w:rsidRPr="009B6248" w:rsidRDefault="00DE35CE" w:rsidP="009B6248">
      <w:pPr>
        <w:numPr>
          <w:ilvl w:val="0"/>
          <w:numId w:val="2"/>
        </w:numPr>
        <w:ind w:left="686"/>
        <w:divId w:val="1080830687"/>
        <w:rPr>
          <w:rFonts w:eastAsia="Times New Roman"/>
        </w:rPr>
      </w:pPr>
      <w:r w:rsidRPr="009B6248">
        <w:rPr>
          <w:rFonts w:eastAsia="Times New Roman"/>
        </w:rPr>
        <w:t>последствия – 7 баллов, так как при оценке последствий желательно выбирать наиболее худший случай – это позволяет более точно оценить риски. Представители комиссии решили, что есть вероятность, что работник может неудачно упасть и получить тяжелую травму.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>Перемножив баллы, комиссия рассчитала, что ИПР равен 210.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 xml:space="preserve">Далее комиссия оценила риск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 Представители комиссии изучили статистику несчастных случаев в организации из-за ударов током, документы по электробезопасности, проверили, проводят ли работникам инструктажи на первую группу по электробезопасности, соблюдены ли требования электробезопасности в кабинете, и провели опрос работников бухгалтерии, не было ли случаев удара током от бытовых приборов. Комиссия выяснила, что несчастных случаев по этой причине не происходило, требования электробезопасности соблюдаются, документы в порядке, инструктажи регулярно проводят, а работники сказали, что случаев удара током от бытовых приборов не было.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>По таблице для критериев риска поставили оценки:</w:t>
      </w:r>
    </w:p>
    <w:p w:rsidR="00BC2C02" w:rsidRPr="009B6248" w:rsidRDefault="00DE35CE" w:rsidP="009B6248">
      <w:pPr>
        <w:numPr>
          <w:ilvl w:val="0"/>
          <w:numId w:val="4"/>
        </w:numPr>
        <w:ind w:left="686"/>
        <w:divId w:val="1080830687"/>
        <w:rPr>
          <w:rFonts w:eastAsia="Times New Roman"/>
        </w:rPr>
      </w:pPr>
      <w:r w:rsidRPr="009B6248">
        <w:rPr>
          <w:rFonts w:eastAsia="Times New Roman"/>
        </w:rPr>
        <w:t>вероятность риска – 0,2 балла, поскольку прецедентов не было, а вероятность удара током от бытовых приборов, учитывая соблюдение всех требований безопасности и состояние проводки, мала;</w:t>
      </w:r>
    </w:p>
    <w:p w:rsidR="00BC2C02" w:rsidRPr="009B6248" w:rsidRDefault="00DE35CE" w:rsidP="009B6248">
      <w:pPr>
        <w:numPr>
          <w:ilvl w:val="0"/>
          <w:numId w:val="4"/>
        </w:numPr>
        <w:ind w:left="686"/>
        <w:divId w:val="1080830687"/>
        <w:rPr>
          <w:rFonts w:eastAsia="Times New Roman"/>
        </w:rPr>
      </w:pPr>
      <w:r w:rsidRPr="009B6248">
        <w:rPr>
          <w:rFonts w:eastAsia="Times New Roman"/>
        </w:rPr>
        <w:t>подверженность – 10 баллов, поскольку бухгалтера во время работы постоянно используют ПК и несколько раз в день пользуются другими электроприборами;</w:t>
      </w:r>
    </w:p>
    <w:p w:rsidR="00BC2C02" w:rsidRPr="009B6248" w:rsidRDefault="00DE35CE" w:rsidP="009B6248">
      <w:pPr>
        <w:numPr>
          <w:ilvl w:val="0"/>
          <w:numId w:val="4"/>
        </w:numPr>
        <w:ind w:left="686"/>
        <w:divId w:val="1080830687"/>
        <w:rPr>
          <w:rFonts w:eastAsia="Times New Roman"/>
        </w:rPr>
      </w:pPr>
      <w:r w:rsidRPr="009B6248">
        <w:rPr>
          <w:rFonts w:eastAsia="Times New Roman"/>
        </w:rPr>
        <w:t xml:space="preserve">последствия оценили в 15 баллов, поскольку от удара током работник может умереть.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>Перемножив баллы, комиссия рассчитала, что ИПР равен 30.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080830687"/>
      </w:pPr>
      <w:r w:rsidRPr="009B6248">
        <w:t>ИПР для остальных рисков представители комиссии рассчитывали аналогично.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Шаг 4. Проведите корректировку оценки рисков.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Для того чтобы уменьшить риски, устраните или уменьшите факторы опасности. Для этого проведите мероприятия по уменьшению риска.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Внедрите наиболее безопасные технологии производства: </w:t>
      </w:r>
    </w:p>
    <w:p w:rsidR="00BC2C02" w:rsidRPr="009B6248" w:rsidRDefault="00DE35CE" w:rsidP="009B6248">
      <w:pPr>
        <w:numPr>
          <w:ilvl w:val="0"/>
          <w:numId w:val="6"/>
        </w:numPr>
        <w:ind w:left="686"/>
        <w:divId w:val="593440573"/>
        <w:rPr>
          <w:rFonts w:eastAsia="Times New Roman"/>
        </w:rPr>
      </w:pPr>
      <w:r w:rsidRPr="009B6248">
        <w:rPr>
          <w:rFonts w:eastAsia="Times New Roman"/>
        </w:rPr>
        <w:t xml:space="preserve">закупите средства индивидуальной и коллективной защиты; </w:t>
      </w:r>
    </w:p>
    <w:p w:rsidR="00BC2C02" w:rsidRPr="009B6248" w:rsidRDefault="00DE35CE" w:rsidP="009B6248">
      <w:pPr>
        <w:numPr>
          <w:ilvl w:val="0"/>
          <w:numId w:val="6"/>
        </w:numPr>
        <w:ind w:left="686"/>
        <w:divId w:val="593440573"/>
        <w:rPr>
          <w:rFonts w:eastAsia="Times New Roman"/>
        </w:rPr>
      </w:pPr>
      <w:r w:rsidRPr="009B6248">
        <w:rPr>
          <w:rFonts w:eastAsia="Times New Roman"/>
        </w:rPr>
        <w:t>модернизируйте оборудование;</w:t>
      </w:r>
    </w:p>
    <w:p w:rsidR="00BC2C02" w:rsidRPr="009B6248" w:rsidRDefault="00DE35CE" w:rsidP="009B6248">
      <w:pPr>
        <w:numPr>
          <w:ilvl w:val="0"/>
          <w:numId w:val="6"/>
        </w:numPr>
        <w:ind w:left="686"/>
        <w:divId w:val="593440573"/>
        <w:rPr>
          <w:rFonts w:eastAsia="Times New Roman"/>
        </w:rPr>
      </w:pPr>
      <w:r w:rsidRPr="009B6248">
        <w:rPr>
          <w:rFonts w:eastAsia="Times New Roman"/>
        </w:rPr>
        <w:t>автоматизируйте производственные процессы;</w:t>
      </w:r>
    </w:p>
    <w:p w:rsidR="00BC2C02" w:rsidRPr="009B6248" w:rsidRDefault="00DE35CE" w:rsidP="009B6248">
      <w:pPr>
        <w:numPr>
          <w:ilvl w:val="0"/>
          <w:numId w:val="6"/>
        </w:numPr>
        <w:ind w:left="686"/>
        <w:divId w:val="593440573"/>
        <w:rPr>
          <w:rFonts w:eastAsia="Times New Roman"/>
        </w:rPr>
      </w:pPr>
      <w:r w:rsidRPr="009B6248">
        <w:rPr>
          <w:rFonts w:eastAsia="Times New Roman"/>
        </w:rPr>
        <w:t>уменьшите время воздействия на работников опасных факторов и т. д.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Нужно ли проводить мероприятия по уменьшению риска, определяют по балльному значению ИПР из таблицы «Определение уровня оценки риска и срочность мероприятий по профилактике».</w:t>
      </w:r>
    </w:p>
    <w:p w:rsidR="00DD585B" w:rsidRDefault="00DD585B" w:rsidP="009B6248">
      <w:pPr>
        <w:pStyle w:val="a5"/>
        <w:spacing w:before="0" w:beforeAutospacing="0" w:after="0" w:afterAutospacing="0"/>
        <w:divId w:val="593440573"/>
        <w:rPr>
          <w:b/>
          <w:bCs/>
        </w:rPr>
      </w:pPr>
    </w:p>
    <w:p w:rsidR="00DD585B" w:rsidRDefault="00DD585B" w:rsidP="009B6248">
      <w:pPr>
        <w:pStyle w:val="a5"/>
        <w:spacing w:before="0" w:beforeAutospacing="0" w:after="0" w:afterAutospacing="0"/>
        <w:divId w:val="593440573"/>
        <w:rPr>
          <w:b/>
          <w:bCs/>
        </w:rPr>
      </w:pPr>
    </w:p>
    <w:p w:rsidR="00DD585B" w:rsidRDefault="00DD585B" w:rsidP="009B6248">
      <w:pPr>
        <w:pStyle w:val="a5"/>
        <w:spacing w:before="0" w:beforeAutospacing="0" w:after="0" w:afterAutospacing="0"/>
        <w:divId w:val="593440573"/>
        <w:rPr>
          <w:b/>
          <w:bCs/>
        </w:rPr>
      </w:pP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rPr>
          <w:b/>
          <w:bCs/>
        </w:rPr>
        <w:t>Таблица. Определение уровня оценки риска и срочность мероприятий по профилактике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4"/>
        <w:gridCol w:w="2299"/>
        <w:gridCol w:w="6303"/>
      </w:tblGrid>
      <w:tr w:rsidR="00BC2C02" w:rsidRPr="009B6248">
        <w:trPr>
          <w:divId w:val="124204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 xml:space="preserve">Индекс </w:t>
            </w:r>
            <w:proofErr w:type="spellStart"/>
            <w:r w:rsidRPr="009B6248">
              <w:rPr>
                <w:b/>
                <w:bCs/>
              </w:rPr>
              <w:t>профриска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Уровень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rPr>
                <w:b/>
                <w:bCs/>
              </w:rPr>
              <w:t>Срочность мероприятий по профилактике</w:t>
            </w:r>
          </w:p>
        </w:tc>
      </w:tr>
      <w:tr w:rsidR="00BC2C02" w:rsidRPr="009B6248">
        <w:trPr>
          <w:divId w:val="124204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lastRenderedPageBreak/>
              <w:t>0–20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Небольшой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Меры не требуются</w:t>
            </w:r>
          </w:p>
        </w:tc>
      </w:tr>
      <w:tr w:rsidR="00BC2C02" w:rsidRPr="009B6248">
        <w:trPr>
          <w:divId w:val="124204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21–70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Возможный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Необходимо уделить внимание</w:t>
            </w:r>
          </w:p>
        </w:tc>
      </w:tr>
      <w:tr w:rsidR="00BC2C02" w:rsidRPr="009B6248">
        <w:trPr>
          <w:divId w:val="124204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71–200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Серьезный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Требуются меры по снижению степени риска в установленные сроки</w:t>
            </w:r>
          </w:p>
        </w:tc>
      </w:tr>
      <w:tr w:rsidR="00BC2C02" w:rsidRPr="009B6248">
        <w:trPr>
          <w:divId w:val="124204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201–400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Высокий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Требуются неотложные меры, усовершенствования</w:t>
            </w:r>
          </w:p>
        </w:tc>
      </w:tr>
      <w:tr w:rsidR="00BC2C02" w:rsidRPr="009B6248">
        <w:trPr>
          <w:divId w:val="124204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Более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Крайне высокий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02" w:rsidRPr="009B6248" w:rsidRDefault="00DE35CE" w:rsidP="009B6248">
            <w:pPr>
              <w:pStyle w:val="a5"/>
              <w:spacing w:before="0" w:beforeAutospacing="0" w:after="0" w:afterAutospacing="0"/>
            </w:pPr>
            <w:r w:rsidRPr="009B6248">
              <w:t>Немедленное прекращение деятельности</w:t>
            </w:r>
          </w:p>
        </w:tc>
      </w:tr>
    </w:tbl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После того как в организации проведут мероприятия по уменьшению уровня риска, снова оцените уровень рисков.</w:t>
      </w:r>
    </w:p>
    <w:p w:rsidR="00BC2C02" w:rsidRPr="009B6248" w:rsidRDefault="00DE35CE" w:rsidP="009B6248">
      <w:pPr>
        <w:divId w:val="2030988933"/>
        <w:rPr>
          <w:rFonts w:eastAsia="Times New Roman"/>
        </w:rPr>
      </w:pPr>
      <w:r w:rsidRPr="009B624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Пример:</w:t>
      </w:r>
      <w:r w:rsidRPr="009B6248">
        <w:rPr>
          <w:rFonts w:eastAsia="Times New Roman"/>
        </w:rPr>
        <w:t> </w:t>
      </w:r>
      <w:r w:rsidRPr="009B6248">
        <w:rPr>
          <w:rStyle w:val="incut-head-sub"/>
          <w:rFonts w:eastAsia="Times New Roman"/>
        </w:rPr>
        <w:t>уменьшение уровня риска</w:t>
      </w:r>
    </w:p>
    <w:p w:rsidR="00BC2C02" w:rsidRPr="009B6248" w:rsidRDefault="00DD585B" w:rsidP="009B6248">
      <w:pPr>
        <w:pStyle w:val="a5"/>
        <w:spacing w:before="0" w:beforeAutospacing="0" w:after="0" w:afterAutospacing="0"/>
        <w:divId w:val="192884277"/>
      </w:pPr>
      <w:r w:rsidRPr="00DD585B">
        <w:t>Комиссия рассчитала</w:t>
      </w:r>
      <w:r w:rsidR="00DE35CE" w:rsidRPr="009B6248">
        <w:t xml:space="preserve">, что ИПР равен 210 для риска «опасность падения из-за потери равновесия, в том числе при спотыкании или </w:t>
      </w:r>
      <w:proofErr w:type="spellStart"/>
      <w:r w:rsidR="00DE35CE" w:rsidRPr="009B6248">
        <w:t>подскальзывании</w:t>
      </w:r>
      <w:proofErr w:type="spellEnd"/>
      <w:r w:rsidR="00DE35CE" w:rsidRPr="009B6248">
        <w:t xml:space="preserve">, при передвижении по скользким поверхностям или мокрым полам», то есть это высокий уровень </w:t>
      </w:r>
      <w:proofErr w:type="gramStart"/>
      <w:r w:rsidR="00DE35CE" w:rsidRPr="009B6248">
        <w:t>риска</w:t>
      </w:r>
      <w:proofErr w:type="gramEnd"/>
      <w:r w:rsidR="00DE35CE" w:rsidRPr="009B6248">
        <w:t xml:space="preserve"> и он требует принятия неотложных мер (определение уровня оценки риска и срочность мероприятий по профилактике). Члены комиссии изучили порог и решили, что его можно убрать и риск полностью исчезнет. Они занесли эти сведения в отчет о </w:t>
      </w:r>
      <w:proofErr w:type="spellStart"/>
      <w:r w:rsidR="00DE35CE" w:rsidRPr="009B6248">
        <w:t>профрисках</w:t>
      </w:r>
      <w:proofErr w:type="spellEnd"/>
      <w:r w:rsidR="00DE35CE" w:rsidRPr="009B6248">
        <w:t xml:space="preserve">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192884277"/>
      </w:pPr>
      <w:r w:rsidRPr="009B6248">
        <w:t xml:space="preserve">Далее комиссия рассмотрела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контакт)», ИПР </w:t>
      </w:r>
      <w:proofErr w:type="gramStart"/>
      <w:r w:rsidRPr="009B6248">
        <w:t>которой</w:t>
      </w:r>
      <w:proofErr w:type="gramEnd"/>
      <w:r w:rsidRPr="009B6248">
        <w:t xml:space="preserve"> равен 30. По таблице – это возможный риск, которому необходимо уделить внимание, поэтому комиссия указала в отчете о </w:t>
      </w:r>
      <w:proofErr w:type="spellStart"/>
      <w:proofErr w:type="gramStart"/>
      <w:r w:rsidRPr="009B6248">
        <w:t>профрисках</w:t>
      </w:r>
      <w:proofErr w:type="spellEnd"/>
      <w:proofErr w:type="gramEnd"/>
      <w:r w:rsidRPr="009B6248">
        <w:t xml:space="preserve"> об обязанности ответственного по электробезопасности проводить инструктажи, следить за состоянием бытовых приборов и проводки и обязанностях работников соблюдать требования электробезопасности. Уровень риска и срочность мероприятий по профилактике для остальных опасностей определяют аналогично. </w:t>
      </w:r>
    </w:p>
    <w:p w:rsidR="00BC2C02" w:rsidRPr="009B6248" w:rsidRDefault="00DE35CE" w:rsidP="009B6248">
      <w:pPr>
        <w:pStyle w:val="2"/>
        <w:spacing w:before="0" w:beforeAutospacing="0" w:after="0" w:afterAutospacing="0"/>
        <w:divId w:val="593440573"/>
        <w:rPr>
          <w:sz w:val="24"/>
          <w:szCs w:val="24"/>
        </w:rPr>
      </w:pPr>
      <w:r w:rsidRPr="009B6248">
        <w:rPr>
          <w:rFonts w:eastAsia="Times New Roman"/>
          <w:sz w:val="24"/>
          <w:szCs w:val="24"/>
        </w:rPr>
        <w:t xml:space="preserve">Какая ответственность за </w:t>
      </w:r>
      <w:proofErr w:type="spellStart"/>
      <w:r w:rsidRPr="009B6248">
        <w:rPr>
          <w:rFonts w:eastAsia="Times New Roman"/>
          <w:sz w:val="24"/>
          <w:szCs w:val="24"/>
        </w:rPr>
        <w:t>непроведение</w:t>
      </w:r>
      <w:proofErr w:type="spellEnd"/>
      <w:r w:rsidRPr="009B6248">
        <w:rPr>
          <w:rFonts w:eastAsia="Times New Roman"/>
          <w:sz w:val="24"/>
          <w:szCs w:val="24"/>
        </w:rPr>
        <w:t xml:space="preserve"> оценки рисков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 xml:space="preserve">За </w:t>
      </w:r>
      <w:proofErr w:type="spellStart"/>
      <w:r w:rsidRPr="009B6248">
        <w:t>непроведение</w:t>
      </w:r>
      <w:proofErr w:type="spellEnd"/>
      <w:r w:rsidRPr="009B6248">
        <w:t xml:space="preserve"> оценки рисков могут выдать предупреждение или наложить штраф по </w:t>
      </w:r>
      <w:r w:rsidR="00DD585B" w:rsidRPr="00DD585B">
        <w:t>части 1</w:t>
      </w:r>
      <w:r w:rsidRPr="009B6248">
        <w:t xml:space="preserve"> статьи 5.27 КоАП. 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Сумма штрафа составит:</w:t>
      </w:r>
    </w:p>
    <w:p w:rsidR="00BC2C02" w:rsidRPr="009B6248" w:rsidRDefault="00DE35CE" w:rsidP="009B6248">
      <w:pPr>
        <w:numPr>
          <w:ilvl w:val="0"/>
          <w:numId w:val="8"/>
        </w:numPr>
        <w:ind w:left="686"/>
        <w:divId w:val="593440573"/>
        <w:rPr>
          <w:rFonts w:eastAsia="Times New Roman"/>
        </w:rPr>
      </w:pPr>
      <w:r w:rsidRPr="009B6248">
        <w:rPr>
          <w:rFonts w:eastAsia="Times New Roman"/>
        </w:rPr>
        <w:t xml:space="preserve">для должностных лиц – от 1000 до 5000 руб.; </w:t>
      </w:r>
    </w:p>
    <w:p w:rsidR="00BC2C02" w:rsidRPr="009B6248" w:rsidRDefault="00DE35CE" w:rsidP="009B6248">
      <w:pPr>
        <w:numPr>
          <w:ilvl w:val="0"/>
          <w:numId w:val="8"/>
        </w:numPr>
        <w:ind w:left="686"/>
        <w:divId w:val="593440573"/>
        <w:rPr>
          <w:rFonts w:eastAsia="Times New Roman"/>
        </w:rPr>
      </w:pPr>
      <w:r w:rsidRPr="009B6248">
        <w:rPr>
          <w:rFonts w:eastAsia="Times New Roman"/>
        </w:rPr>
        <w:t xml:space="preserve">ИП – от 1000 до 5000 руб.; </w:t>
      </w:r>
    </w:p>
    <w:p w:rsidR="00BC2C02" w:rsidRPr="009B6248" w:rsidRDefault="00DE35CE" w:rsidP="009B6248">
      <w:pPr>
        <w:numPr>
          <w:ilvl w:val="0"/>
          <w:numId w:val="8"/>
        </w:numPr>
        <w:ind w:left="686"/>
        <w:divId w:val="593440573"/>
        <w:rPr>
          <w:rFonts w:eastAsia="Times New Roman"/>
        </w:rPr>
      </w:pPr>
      <w:proofErr w:type="spellStart"/>
      <w:r w:rsidRPr="009B6248">
        <w:rPr>
          <w:rFonts w:eastAsia="Times New Roman"/>
        </w:rPr>
        <w:t>юрлиц</w:t>
      </w:r>
      <w:proofErr w:type="spellEnd"/>
      <w:r w:rsidRPr="009B6248">
        <w:rPr>
          <w:rFonts w:eastAsia="Times New Roman"/>
        </w:rPr>
        <w:t xml:space="preserve"> – от 30 000 до 50 000 руб.</w:t>
      </w:r>
    </w:p>
    <w:p w:rsidR="00BC2C02" w:rsidRPr="009B6248" w:rsidRDefault="00DE35CE" w:rsidP="009B6248">
      <w:pPr>
        <w:pStyle w:val="a5"/>
        <w:spacing w:before="0" w:beforeAutospacing="0" w:after="0" w:afterAutospacing="0"/>
        <w:divId w:val="593440573"/>
      </w:pPr>
      <w:r w:rsidRPr="009B6248">
        <w:t>Кроме того, в случае если на предприятии произошел несчастный случай, а оценка рисков не проводилась, то инспекция труда направит материалы расследования в следственный комитет. При расследовании уголовного дела отсутствие оценки рисков будут считать отягощающим фактором для работодателя.</w:t>
      </w:r>
    </w:p>
    <w:p w:rsidR="00DE35CE" w:rsidRPr="009B6248" w:rsidRDefault="00DE35CE" w:rsidP="009B6248">
      <w:pPr>
        <w:divId w:val="1354110654"/>
        <w:rPr>
          <w:rFonts w:eastAsia="Times New Roman"/>
        </w:rPr>
      </w:pPr>
      <w:r w:rsidRPr="009B6248">
        <w:rPr>
          <w:rFonts w:eastAsia="Times New Roman"/>
        </w:rPr>
        <w:t>© Материал из Справочной системы «Охрана труда»</w:t>
      </w:r>
      <w:r w:rsidRPr="009B6248">
        <w:rPr>
          <w:rFonts w:eastAsia="Times New Roman"/>
        </w:rPr>
        <w:br/>
        <w:t>https://1otruda.ru</w:t>
      </w:r>
      <w:r w:rsidRPr="009B6248">
        <w:rPr>
          <w:rFonts w:eastAsia="Times New Roman"/>
        </w:rPr>
        <w:br/>
        <w:t>Дата копирования: 07.05.2019</w:t>
      </w:r>
    </w:p>
    <w:sectPr w:rsidR="00DE35CE" w:rsidRPr="009B6248" w:rsidSect="009B6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86A"/>
    <w:multiLevelType w:val="multilevel"/>
    <w:tmpl w:val="005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A5F"/>
    <w:multiLevelType w:val="multilevel"/>
    <w:tmpl w:val="E50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B66FB"/>
    <w:multiLevelType w:val="multilevel"/>
    <w:tmpl w:val="FEE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E0DC8"/>
    <w:multiLevelType w:val="multilevel"/>
    <w:tmpl w:val="D70E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F"/>
    <w:rsid w:val="001B092F"/>
    <w:rsid w:val="006B43FC"/>
    <w:rsid w:val="009B6248"/>
    <w:rsid w:val="00BC2C02"/>
    <w:rsid w:val="00DD585B"/>
    <w:rsid w:val="00DE35CE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incut-head-sub">
    <w:name w:val="incut-head-sub"/>
    <w:basedOn w:val="a0"/>
  </w:style>
  <w:style w:type="character" w:customStyle="1" w:styleId="btn">
    <w:name w:val="btn"/>
    <w:basedOn w:val="a0"/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incut-head-sub">
    <w:name w:val="incut-head-sub"/>
    <w:basedOn w:val="a0"/>
  </w:style>
  <w:style w:type="character" w:customStyle="1" w:styleId="btn">
    <w:name w:val="btn"/>
    <w:basedOn w:val="a0"/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7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9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009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06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77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30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7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31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84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065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6</cp:revision>
  <dcterms:created xsi:type="dcterms:W3CDTF">2019-10-16T06:43:00Z</dcterms:created>
  <dcterms:modified xsi:type="dcterms:W3CDTF">2019-11-06T06:57:00Z</dcterms:modified>
</cp:coreProperties>
</file>